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100"/>
      </w:pPr>
    </w:p>
    <w:p>
      <w:pPr>
        <w:spacing w:after="300"/>
      </w:pPr>
      <w:r>
        <w:rPr>
          <w:rFonts w:ascii="Calibri" w:cs="Calibri" w:eastAsia="Calibri" w:hAnsi="Calibri"/>
          <w:b/>
          <w:bCs/>
          <w:color w:val="2F6B57"/>
          <w:spacing w:val="80"/>
          <w:sz w:val="22"/>
          <w:szCs w:val="22"/>
        </w:rPr>
        <w:t xml:space="preserve">PERSONAL FINANCIAL LITERACY</w:t>
      </w:r>
    </w:p>
    <w:p>
      <w:pPr>
        <w:spacing w:after="140" w:before="120"/>
      </w:pPr>
      <w:r>
        <w:rPr>
          <w:rFonts w:ascii="Cambria" w:cs="Cambria" w:eastAsia="Cambria" w:hAnsi="Cambria"/>
          <w:b/>
          <w:bCs/>
          <w:color w:val="26221E"/>
          <w:sz w:val="64"/>
          <w:szCs w:val="64"/>
        </w:rPr>
        <w:t xml:space="preserve">The Household Handbook</w:t>
      </w:r>
    </w:p>
    <w:p>
      <w:pPr>
        <w:pBdr>
          <w:bottom w:val="single" w:color="2F6B57" w:sz="14" w:space="10"/>
        </w:pBdr>
        <w:spacing w:after="340"/>
      </w:pPr>
      <w:r>
        <w:rPr>
          <w:rFonts w:ascii="Cambria" w:cs="Cambria" w:eastAsia="Cambria" w:hAnsi="Cambria"/>
          <w:i/>
          <w:iCs/>
          <w:color w:val="6B6258"/>
          <w:sz w:val="30"/>
          <w:szCs w:val="30"/>
        </w:rPr>
        <w:t xml:space="preserve">Money, in the order a household actually meets it</w:t>
      </w:r>
    </w:p>
    <w:p>
      <w:pPr>
        <w:spacing w:after="200" w:line="300"/>
      </w:pPr>
      <w:r>
        <w:rPr>
          <w:rFonts w:ascii="Calibri" w:cs="Calibri" w:eastAsia="Calibri" w:hAnsi="Calibri"/>
          <w:color w:val="26221E"/>
          <w:sz w:val="24"/>
          <w:szCs w:val="24"/>
        </w:rPr>
        <w:t xml:space="preserve">An Australian guide to budgeting, the household balance sheet, teaching children, scams and fraud, retirement, and what happens if something happens — written to be used alongside the Personal Financial Literacy app.</w:t>
      </w:r>
    </w:p>
    <w:p>
      <w:pPr>
        <w:spacing w:after="600"/>
      </w:pPr>
      <w:r>
        <w:rPr>
          <w:rFonts w:ascii="Calibri" w:cs="Calibri" w:eastAsia="Calibri" w:hAnsi="Calibri"/>
          <w:b/>
          <w:bCs/>
          <w:color w:val="2F6B57"/>
          <w:spacing w:val="40"/>
          <w:sz w:val="20"/>
          <w:szCs w:val="20"/>
        </w:rPr>
        <w:t xml:space="preserve">SEE IT  ·  PLAN IT  ·  PROTECT IT  ·  PASS IT ON</w:t>
      </w:r>
    </w:p>
    <w:p>
      <w:pPr>
        <w:spacing w:after="80"/>
      </w:pPr>
      <w:r>
        <w:rPr>
          <w:rFonts w:ascii="Calibri" w:cs="Calibri" w:eastAsia="Calibri" w:hAnsi="Calibri"/>
          <w:color w:val="6B6258"/>
          <w:sz w:val="20"/>
          <w:szCs w:val="20"/>
        </w:rPr>
        <w:t xml:space="preserve">This handbook belongs to</w:t>
      </w:r>
    </w:p>
    <w:p>
      <w:pPr>
        <w:pBdr>
          <w:bottom w:val="single" w:color="DBCFB6" w:sz="6" w:space="12"/>
        </w:pBdr>
        <w:spacing w:after="520"/>
      </w:pPr>
      <w:r>
        <w:rPr>
          <w:rFonts w:ascii="Calibri" w:cs="Calibri" w:eastAsia="Calibri" w:hAnsi="Calibri"/>
          <w:sz w:val="28"/>
          <w:szCs w:val="28"/>
        </w:rPr>
        <w:t xml:space="preserve"> </w:t>
      </w:r>
    </w:p>
    <w:p>
      <w:pPr>
        <w:spacing w:after="0" w:line="260"/>
      </w:pPr>
      <w:r>
        <w:rPr>
          <w:rFonts w:ascii="Calibri" w:cs="Calibri" w:eastAsia="Calibri" w:hAnsi="Calibri"/>
          <w:color w:val="6B6258"/>
          <w:sz w:val="16"/>
          <w:szCs w:val="16"/>
        </w:rPr>
        <w:t xml:space="preserve">App and course created by Dr Bruce Clayton · © 2026 Dr Bruce Clayton. All rights reserved. · Companion to Personal Financial Literacy v5.1.1 · Australian edition · General education, not financial advice</w:t>
      </w:r>
    </w:p>
    <w:p>
      <w:r>
        <w:br w:type="page"/>
      </w:r>
    </w:p>
    <w:p>
      <w:pPr>
        <w:sectPr>
          <w:pgSz w:w="11906" w:h="16838" w:orient="portrait"/>
          <w:pgMar w:top="1440" w:right="1440" w:bottom="1440" w:left="1440" w:header="708" w:footer="708" w:gutter="0"/>
          <w:pgNumType/>
          <w:docGrid w:linePitch="360"/>
        </w:sectPr>
      </w:pPr>
    </w:p>
    <w:p>
      <w:pPr>
        <w:pBdr>
          <w:bottom w:val="single" w:color="8C6A2F" w:sz="4" w:space="4"/>
        </w:pBdr>
        <w:spacing w:before="240" w:after="140"/>
      </w:pPr>
      <w:r>
        <w:rPr>
          <w:b/>
          <w:bCs/>
          <w:color w:val="8C6A2F"/>
          <w:spacing w:val="60"/>
          <w:sz w:val="21"/>
          <w:szCs w:val="21"/>
        </w:rPr>
        <w:t xml:space="preserve">THE COURSE DOCUMENTS</w:t>
      </w:r>
    </w:p>
    <w:p>
      <w:pPr>
        <w:spacing w:after="140"/>
      </w:pPr>
      <w:r>
        <w:rPr>
          <w:color w:val="6B6258"/>
        </w:rPr>
        <w:t xml:space="preserve">Six documents come with the Personal Financial Literacy app. Each has one job, and none repeats another. If a question is not answered here, one of the others answers it.</w:t>
      </w:r>
    </w:p>
    <w:p>
      <w:pPr>
        <w:spacing w:after="70"/>
        <w:ind w:left="340" w:hanging="340"/>
      </w:pPr>
      <w:r>
        <w:rPr>
          <w:b/>
          <w:bCs/>
        </w:rPr>
        <w:t xml:space="preserve">Start here</w:t>
      </w:r>
      <w:r>
        <w:t xml:space="preserve"> — the first evening: open the file, work along the tabs, and have something useful in ten minutes.</w:t>
      </w:r>
    </w:p>
    <w:p>
      <w:pPr>
        <w:spacing w:after="70"/>
        <w:ind w:left="340" w:hanging="340"/>
      </w:pPr>
      <w:r>
        <w:rPr>
          <w:b/>
          <w:bCs/>
        </w:rPr>
        <w:t xml:space="preserve">User manual</w:t>
      </w:r>
      <w:r>
        <w:t xml:space="preserve"> — how to operate every tab and every button, in the order you would use them.</w:t>
      </w:r>
    </w:p>
    <w:p>
      <w:pPr>
        <w:spacing w:after="70"/>
        <w:ind w:left="340" w:hanging="340"/>
      </w:pPr>
      <w:r>
        <w:rPr>
          <w:b/>
          <w:bCs/>
        </w:rPr>
        <w:t xml:space="preserve">What the app can do</w:t>
      </w:r>
      <w:r>
        <w:t xml:space="preserve"> — every capability, calculation and editable setting — and an honest list of what it does not do.</w:t>
      </w:r>
    </w:p>
    <w:p>
      <w:pPr>
        <w:spacing w:after="70"/>
        <w:ind w:left="340" w:hanging="340"/>
      </w:pPr>
      <w:r>
        <w:rPr>
          <w:b/>
          <w:bCs/>
        </w:rPr>
        <w:t xml:space="preserve">Workbook</w:t>
      </w:r>
      <w:r>
        <w:t xml:space="preserve"> — the workshop activities, printed one per person and written in.</w:t>
      </w:r>
    </w:p>
    <w:p>
      <w:pPr>
        <w:spacing w:after="70"/>
        <w:ind w:left="340" w:hanging="340"/>
      </w:pPr>
      <w:r>
        <w:rPr>
          <w:b/>
          <w:bCs/>
        </w:rPr>
        <w:t xml:space="preserve">Loading a case study</w:t>
      </w:r>
      <w:r>
        <w:t xml:space="preserve"> — putting a case household into your copy without touching the figures you already have.</w:t>
      </w:r>
    </w:p>
    <w:p>
      <w:pPr>
        <w:spacing w:after="70"/>
        <w:ind w:left="340" w:hanging="340"/>
      </w:pPr>
      <w:r>
        <w:rPr>
          <w:b/>
          <w:bCs/>
          <w:color w:val="2F6B57"/>
        </w:rPr>
        <w:t xml:space="preserve">The Household Handbook</w:t>
      </w:r>
      <w:r>
        <w:t xml:space="preserve"> — the printed guide to the subject itself — budgeting, debt, retirement, scams and fraud. Not about the app.</w:t>
      </w:r>
      <w:r>
        <w:rPr>
          <w:i/>
          <w:iCs/>
          <w:color w:val="2F6B57"/>
        </w:rPr>
        <w:t xml:space="preserve">  (this document)</w:t>
      </w:r>
    </w:p>
    <w:p>
      <w:pPr>
        <w:spacing w:before="150" w:after="260"/>
      </w:pPr>
      <w:r>
        <w:rPr>
          <w:i/>
          <w:iCs/>
          <w:color w:val="6B6258"/>
        </w:rPr>
        <w:t xml:space="preserve">Every document carries the app version it describes on its title page. Keep the set together, and replace the set when the app is updated.</w:t>
      </w:r>
    </w:p>
    <w:p>
      <w:pPr>
        <w:spacing w:after="60" w:before="0"/>
      </w:pPr>
      <w:r>
        <w:rPr>
          <w:rFonts w:ascii="Calibri" w:cs="Calibri" w:eastAsia="Calibri" w:hAnsi="Calibri"/>
          <w:b/>
          <w:bCs/>
          <w:color w:val="6B6258"/>
          <w:spacing w:val="36"/>
          <w:sz w:val="16"/>
          <w:szCs w:val="16"/>
        </w:rPr>
        <w:t xml:space="preserve">BEFORE YOU BEGIN</w:t>
      </w:r>
    </w:p>
    <w:p>
      <w:pPr>
        <w:pBdr>
          <w:bottom w:val="single" w:color="DBCFB6" w:sz="10" w:space="6"/>
        </w:pBdr>
        <w:spacing w:after="180"/>
      </w:pPr>
      <w:r>
        <w:rPr>
          <w:rFonts w:ascii="Cambria" w:cs="Cambria" w:eastAsia="Cambria" w:hAnsi="Cambria"/>
          <w:b/>
          <w:bCs/>
          <w:color w:val="2F6B57"/>
          <w:sz w:val="34"/>
          <w:szCs w:val="34"/>
        </w:rPr>
        <w:t xml:space="preserve">How to use this handbook</w:t>
      </w:r>
    </w:p>
    <w:p>
      <w:pPr>
        <w:spacing w:after="220" w:line="290"/>
      </w:pPr>
      <w:r>
        <w:rPr>
          <w:i/>
          <w:iCs/>
          <w:color w:val="6B6258"/>
          <w:sz w:val="23"/>
          <w:szCs w:val="23"/>
        </w:rPr>
        <w:t xml:space="preserve">You do not have to read it in order, and you certainly do not have to read it all at once.</w:t>
      </w:r>
    </w:p>
    <w:p>
      <w:pPr>
        <w:spacing w:after="140" w:line="276"/>
      </w:pPr>
      <w:r>
        <w:t xml:space="preserve">This handbook has two jobs. The first is to explain the ideas — what a budget is for, what a balance sheet tells you, how super and the Age Pension actually work, why one purchase drags others behind it. The second is to explain how the </w:t>
      </w:r>
      <w:r>
        <w:rPr>
          <w:i/>
          <w:iCs/>
        </w:rPr>
        <w:t xml:space="preserve">Personal Financial Literacy</w:t>
      </w:r>
      <w:r>
        <w:t xml:space="preserve"> app does each of those things, so that the reading and the doing sit in the same place.</w:t>
      </w:r>
    </w:p>
    <w:p>
      <w:pPr>
        <w:spacing w:after="140" w:line="276"/>
      </w:pPr>
      <w:r>
        <w:t xml:space="preserve">It is written for an Australian household, in Australian dollars, under Australian rules. It is general education, not financial, tax, credit or legal advice.</w:t>
      </w:r>
    </w:p>
    <w:p>
      <w:pPr>
        <w:pStyle w:val="Heading2"/>
        <w:keepNext/>
        <w:spacing w:after="120" w:before="300"/>
      </w:pPr>
      <w:r>
        <w:rPr>
          <w:rFonts w:ascii="Cambria" w:cs="Cambria" w:eastAsia="Cambria" w:hAnsi="Cambria"/>
          <w:b/>
          <w:bCs/>
          <w:color w:val="26221E"/>
          <w:sz w:val="26"/>
          <w:szCs w:val="26"/>
        </w:rPr>
        <w:t xml:space="preserve">Four ways in</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3557"/>
        <w:gridCol w:w="5803"/>
      </w:tblGrid>
      <w:tr>
        <w:trPr>
          <w:tblHeader/>
        </w:trPr>
        <w:tc>
          <w:tcPr>
            <w:tcW w:type="dxa" w:w="3557"/>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If you have…</w:t>
            </w:r>
          </w:p>
        </w:tc>
        <w:tc>
          <w:tcPr>
            <w:tcW w:type="dxa" w:w="5803"/>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Start at</w:t>
            </w:r>
          </w:p>
        </w:tc>
      </w:tr>
      <w:tr>
        <w:tc>
          <w:tcPr>
            <w:tcW w:type="dxa" w:w="355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Twenty minutes and no idea where you stand</w:t>
            </w:r>
          </w:p>
        </w:tc>
        <w:tc>
          <w:tcPr>
            <w:tcW w:type="dxa" w:w="580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Section 4 — the balance sheet. Twenty minutes and you have a number nobody in the household has ever worked out</w:t>
            </w:r>
          </w:p>
        </w:tc>
      </w:tr>
      <w:tr>
        <w:tc>
          <w:tcPr>
            <w:tcW w:type="dxa" w:w="355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An afternoon and a sense that the money disappears</w:t>
            </w:r>
          </w:p>
        </w:tc>
        <w:tc>
          <w:tcPr>
            <w:tcW w:type="dxa" w:w="580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Sections 2 and 3 — the budget, built in Year view, with the commonly forgotten bills list</w:t>
            </w:r>
          </w:p>
        </w:tc>
      </w:tr>
      <w:tr>
        <w:tc>
          <w:tcPr>
            <w:tcW w:type="dxa" w:w="355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Half an hour and a worry about fraud</w:t>
            </w:r>
          </w:p>
        </w:tc>
        <w:tc>
          <w:tcPr>
            <w:tcW w:type="dxa" w:w="580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Section 7, Part One. The setup works on the day vigilance fails</w:t>
            </w:r>
          </w:p>
        </w:tc>
      </w:tr>
      <w:tr>
        <w:tc>
          <w:tcPr>
            <w:tcW w:type="dxa" w:w="355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 parent, a partner or a diagnosis on your mind</w:t>
            </w:r>
          </w:p>
        </w:tc>
        <w:tc>
          <w:tcPr>
            <w:tcW w:type="dxa" w:w="580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Section 14 — wills, attorneys and the page an executor needs</w:t>
            </w:r>
          </w:p>
        </w:tc>
      </w:tr>
    </w:tbl>
    <w:p>
      <w:pPr>
        <w:spacing w:after="200"/>
      </w:pPr>
    </w:p>
    <w:p>
      <w:pPr>
        <w:pStyle w:val="Heading2"/>
        <w:keepNext/>
        <w:spacing w:after="120" w:before="300"/>
      </w:pPr>
      <w:r>
        <w:rPr>
          <w:rFonts w:ascii="Cambria" w:cs="Cambria" w:eastAsia="Cambria" w:hAnsi="Cambria"/>
          <w:b/>
          <w:bCs/>
          <w:color w:val="26221E"/>
          <w:sz w:val="26"/>
          <w:szCs w:val="26"/>
        </w:rPr>
        <w:t xml:space="preserve">What is in it</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655"/>
        <w:gridCol w:w="5429"/>
        <w:gridCol w:w="3276"/>
      </w:tblGrid>
      <w:tr>
        <w:trPr>
          <w:tblHeader/>
        </w:trPr>
        <w:tc>
          <w:tcPr>
            <w:tcW w:type="dxa" w:w="655"/>
            <w:shd w:fill="41607C" w:color="auto" w:val="clear"/>
            <w:tcMar>
              <w:top w:type="dxa" w:w="80"/>
              <w:left w:type="dxa" w:w="110"/>
              <w:bottom w:type="dxa" w:w="80"/>
              <w:right w:type="dxa" w:w="110"/>
            </w:tcMar>
          </w:tcPr>
          <w:p>
            <w:pPr>
              <w:spacing w:after="0" w:line="250"/>
            </w:pPr>
          </w:p>
        </w:tc>
        <w:tc>
          <w:tcPr>
            <w:tcW w:type="dxa" w:w="5429"/>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Section</w:t>
            </w:r>
          </w:p>
        </w:tc>
        <w:tc>
          <w:tcPr>
            <w:tcW w:type="dxa" w:w="3276"/>
            <w:shd w:fill="41607C" w:color="auto" w:val="clear"/>
            <w:tcMar>
              <w:top w:type="dxa" w:w="80"/>
              <w:left w:type="dxa" w:w="110"/>
              <w:bottom w:type="dxa" w:w="80"/>
              <w:right w:type="dxa" w:w="110"/>
            </w:tcMar>
          </w:tcPr>
          <w:p>
            <w:pPr>
              <w:spacing w:after="0" w:line="250"/>
            </w:pPr>
          </w:p>
        </w:tc>
      </w:tr>
      <w:tr>
        <w:tc>
          <w:tcPr>
            <w:tcW w:type="dxa" w:w="65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1</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What personal financial literacy actually is</w:t>
            </w:r>
          </w:p>
        </w:tc>
        <w:tc>
          <w:tcPr>
            <w:tcW w:type="dxa" w:w="327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four questions</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2</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Why a household budget is necessary</w:t>
            </w:r>
          </w:p>
        </w:tc>
        <w:tc>
          <w:tcPr>
            <w:tcW w:type="dxa" w:w="327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year, not the fortnight</w:t>
            </w:r>
          </w:p>
        </w:tc>
      </w:tr>
      <w:tr>
        <w:tc>
          <w:tcPr>
            <w:tcW w:type="dxa" w:w="65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3</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How the budgeting in the app works</w:t>
            </w:r>
          </w:p>
        </w:tc>
        <w:tc>
          <w:tcPr>
            <w:tcW w:type="dxa" w:w="327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Envelopes, groups, frequencies</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4</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What a household balance sheet is</w:t>
            </w:r>
          </w:p>
        </w:tc>
        <w:tc>
          <w:tcPr>
            <w:tcW w:type="dxa" w:w="327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Stock and flow</w:t>
            </w:r>
          </w:p>
        </w:tc>
      </w:tr>
      <w:tr>
        <w:tc>
          <w:tcPr>
            <w:tcW w:type="dxa" w:w="65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5</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Income, tax and the payslip</w:t>
            </w:r>
          </w:p>
        </w:tc>
        <w:tc>
          <w:tcPr>
            <w:tcW w:type="dxa" w:w="327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Where take-home comes from</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6</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Debt: the mortgage, the card, the study loan</w:t>
            </w:r>
          </w:p>
        </w:tc>
        <w:tc>
          <w:tcPr>
            <w:tcW w:type="dxa" w:w="327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Order of attack</w:t>
            </w:r>
          </w:p>
        </w:tc>
      </w:tr>
      <w:tr>
        <w:tc>
          <w:tcPr>
            <w:tcW w:type="dxa" w:w="65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7</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Scams and fraud</w:t>
            </w:r>
          </w:p>
        </w:tc>
        <w:tc>
          <w:tcPr>
            <w:tcW w:type="dxa" w:w="327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Set up · spot · recover</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8</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emergency fund, and insurance</w:t>
            </w:r>
          </w:p>
        </w:tc>
        <w:tc>
          <w:tcPr>
            <w:tcW w:type="dxa" w:w="327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buffer</w:t>
            </w:r>
          </w:p>
        </w:tc>
      </w:tr>
      <w:tr>
        <w:tc>
          <w:tcPr>
            <w:tcW w:type="dxa" w:w="65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9</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Teaching children money</w:t>
            </w:r>
          </w:p>
        </w:tc>
        <w:tc>
          <w:tcPr>
            <w:tcW w:type="dxa" w:w="327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four jars</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10</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Talking about money with your partner</w:t>
            </w:r>
          </w:p>
        </w:tc>
        <w:tc>
          <w:tcPr>
            <w:tcW w:type="dxa" w:w="327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conversation</w:t>
            </w:r>
          </w:p>
        </w:tc>
      </w:tr>
      <w:tr>
        <w:tc>
          <w:tcPr>
            <w:tcW w:type="dxa" w:w="65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11</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psychology of spending</w:t>
            </w:r>
          </w:p>
        </w:tc>
        <w:tc>
          <w:tcPr>
            <w:tcW w:type="dxa" w:w="327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Five mechanisms, eight remedies</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12</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Retirement and retirement planning</w:t>
            </w:r>
          </w:p>
        </w:tc>
        <w:tc>
          <w:tcPr>
            <w:tcW w:type="dxa" w:w="327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Three ages, two tests</w:t>
            </w:r>
          </w:p>
        </w:tc>
      </w:tr>
      <w:tr>
        <w:tc>
          <w:tcPr>
            <w:tcW w:type="dxa" w:w="65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13</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Assumptions, forecasts and testing a decision</w:t>
            </w:r>
          </w:p>
        </w:tc>
        <w:tc>
          <w:tcPr>
            <w:tcW w:type="dxa" w:w="327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Guesses, not predictions</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14</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Wills, powers of attorney and what happens next</w:t>
            </w:r>
          </w:p>
        </w:tc>
        <w:tc>
          <w:tcPr>
            <w:tcW w:type="dxa" w:w="327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Where things are, who acts</w:t>
            </w:r>
          </w:p>
        </w:tc>
      </w:tr>
      <w:tr>
        <w:tc>
          <w:tcPr>
            <w:tcW w:type="dxa" w:w="65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15</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household year</w:t>
            </w:r>
          </w:p>
        </w:tc>
        <w:tc>
          <w:tcPr>
            <w:tcW w:type="dxa" w:w="327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Four dates and one afternoon</w:t>
            </w:r>
          </w:p>
        </w:tc>
      </w:tr>
      <w:tr>
        <w:tc>
          <w:tcPr>
            <w:tcW w:type="dxa" w:w="655"/>
            <w:shd w:fill="FCFAF3" w:color="auto" w:val="clear"/>
            <w:tcMar>
              <w:top w:type="dxa" w:w="80"/>
              <w:left w:type="dxa" w:w="110"/>
              <w:bottom w:type="dxa" w:w="80"/>
              <w:right w:type="dxa" w:w="110"/>
            </w:tcMar>
          </w:tcPr>
          <w:p>
            <w:pPr>
              <w:spacing w:after="0" w:line="250"/>
            </w:pP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Glossary · Where to get help</w:t>
            </w:r>
          </w:p>
        </w:tc>
        <w:tc>
          <w:tcPr>
            <w:tcW w:type="dxa" w:w="3276"/>
            <w:shd w:fill="FCFAF3" w:color="auto" w:val="clear"/>
            <w:tcMar>
              <w:top w:type="dxa" w:w="80"/>
              <w:left w:type="dxa" w:w="110"/>
              <w:bottom w:type="dxa" w:w="80"/>
              <w:right w:type="dxa" w:w="110"/>
            </w:tcMar>
          </w:tcPr>
          <w:p>
            <w:pPr>
              <w:spacing w:after="0" w:line="250"/>
            </w:pPr>
          </w:p>
        </w:tc>
      </w:tr>
    </w:tbl>
    <w:p>
      <w:pPr>
        <w:spacing w:after="200"/>
      </w:pPr>
    </w:p>
    <w:p>
      <w:pPr>
        <w:pStyle w:val="Heading2"/>
        <w:keepNext/>
        <w:spacing w:after="120" w:before="300"/>
      </w:pPr>
      <w:r>
        <w:rPr>
          <w:rFonts w:ascii="Cambria" w:cs="Cambria" w:eastAsia="Cambria" w:hAnsi="Cambria"/>
          <w:b/>
          <w:bCs/>
          <w:color w:val="26221E"/>
          <w:sz w:val="26"/>
          <w:szCs w:val="26"/>
        </w:rPr>
        <w:t xml:space="preserve">A note on the app</w:t>
      </w:r>
    </w:p>
    <w:p>
      <w:pPr>
        <w:spacing w:after="140" w:line="276"/>
      </w:pPr>
      <w:r>
        <w:t xml:space="preserve">The app is a single file that runs in your browser. There is no account and no sign-in, and nothing is uploaded — your figures stay in that browser’s storage on that computer. That also means the app cannot protect them for you, so three habits do the work: use your own computer login or browser profile, keep backup files somewhere sensible, and close the tab on a shared machine.</w:t>
      </w:r>
    </w:p>
    <w:p>
      <w:pPr>
        <w:spacing w:after="140" w:line="276"/>
      </w:pPr>
      <w:r>
        <w:rPr>
          <w:b/>
          <w:bCs/>
        </w:rPr>
        <w:t xml:space="preserve">Sharing the app and sharing your figures are two different actions</w:t>
      </w:r>
      <w:r>
        <w:t xml:space="preserve">, and the app keeps them apart on purpose. </w:t>
      </w:r>
      <w:r>
        <w:rPr>
          <w:i/>
          <w:iCs/>
        </w:rPr>
        <w:t xml:space="preserve">Share a copy</w:t>
      </w:r>
      <w:r>
        <w:t xml:space="preserve"> sends the empty app. </w:t>
      </w:r>
      <w:r>
        <w:rPr>
          <w:i/>
          <w:iCs/>
        </w:rPr>
        <w:t xml:space="preserve">Backup</w:t>
      </w:r>
      <w:r>
        <w:t xml:space="preserve"> produces a file of your figures — treat it like a bank statement, not like a photo. To move to a new computer: Backup on the old one, copy the file across, add a household on the new one, then Restore.</w:t>
      </w:r>
    </w:p>
    <w:p>
      <w:pPr>
        <w:spacing w:after="200" w:before="60" w:line="260"/>
      </w:pPr>
      <w:r>
        <w:rPr>
          <w:i/>
          <w:iCs/>
          <w:color w:val="6B6258"/>
          <w:sz w:val="19"/>
          <w:szCs w:val="19"/>
        </w:rPr>
        <w:t xml:space="preserve">Check the version at the very bottom of the app page. If several copies are sitting in your Downloads folder, opening an older one is the commonest cause of “it does not do what the handbook says”. This handbook describes v5.1.1.</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1 · What personal financial literacy actually is</w:t>
      </w:r>
    </w:p>
    <w:p>
      <w:pPr>
        <w:spacing w:after="220" w:line="290"/>
      </w:pPr>
      <w:r>
        <w:rPr>
          <w:i/>
          <w:iCs/>
          <w:color w:val="6B6258"/>
          <w:sz w:val="23"/>
          <w:szCs w:val="23"/>
        </w:rPr>
        <w:t xml:space="preserve">Not a body of knowledge you either have or lack, but a small set of habits that let an ordinary household see its own position clearly and make decisions on purpose.</w:t>
      </w:r>
    </w:p>
    <w:p>
      <w:pPr>
        <w:spacing w:after="140" w:line="276"/>
      </w:pPr>
      <w:r>
        <w:t xml:space="preserve">Financial literacy gets talked about as though it were a subject — compound interest, tax brackets, diversification. Some of that matters. But households do not fail because they cannot define a franking credit. They fail because nobody ever wrote down what the year actually costs, because the person who does not handle the money has no idea where anything is, or because a decision that looked small at the time turned out to have five years of repayments attached to it.</w:t>
      </w:r>
    </w:p>
    <w:p>
      <w:pPr>
        <w:spacing w:after="140" w:line="276"/>
      </w:pPr>
      <w:r>
        <w:t xml:space="preserve">So it is worth being plain about what this handbook means by the term. Personal financial literacy is the ability to answer four questions about your own household, with numbers rather than impressions:</w:t>
      </w:r>
    </w:p>
    <w:p>
      <w:pPr>
        <w:pStyle w:val="ListParagraph"/>
        <w:numPr>
          <w:ilvl w:val="0"/>
          <w:numId w:val="2"/>
        </w:numPr>
        <w:spacing w:after="80" w:line="270"/>
      </w:pPr>
      <w:r>
        <w:rPr>
          <w:b/>
          <w:bCs/>
        </w:rPr>
        <w:t xml:space="preserve">What do we own, what do we owe, and what is the difference?</w:t>
      </w:r>
      <w:r>
        <w:t xml:space="preserve"> That is the balance sheet — Section 4.</w:t>
      </w:r>
    </w:p>
    <w:p>
      <w:pPr>
        <w:pStyle w:val="ListParagraph"/>
        <w:numPr>
          <w:ilvl w:val="0"/>
          <w:numId w:val="2"/>
        </w:numPr>
        <w:spacing w:after="80" w:line="270"/>
      </w:pPr>
      <w:r>
        <w:rPr>
          <w:b/>
          <w:bCs/>
        </w:rPr>
        <w:t xml:space="preserve">What comes in, and where does it go?</w:t>
      </w:r>
      <w:r>
        <w:t xml:space="preserve"> That is income and the budget — Sections 2, 3 and 5.</w:t>
      </w:r>
    </w:p>
    <w:p>
      <w:pPr>
        <w:pStyle w:val="ListParagraph"/>
        <w:numPr>
          <w:ilvl w:val="0"/>
          <w:numId w:val="2"/>
        </w:numPr>
        <w:spacing w:after="80" w:line="270"/>
      </w:pPr>
      <w:r>
        <w:rPr>
          <w:b/>
          <w:bCs/>
        </w:rPr>
        <w:t xml:space="preserve">What happens if we keep doing this?</w:t>
      </w:r>
      <w:r>
        <w:t xml:space="preserve"> That is the forecast — Section 13.</w:t>
      </w:r>
    </w:p>
    <w:p>
      <w:pPr>
        <w:pStyle w:val="ListParagraph"/>
        <w:numPr>
          <w:ilvl w:val="0"/>
          <w:numId w:val="2"/>
        </w:numPr>
        <w:spacing w:after="80" w:line="270"/>
      </w:pPr>
      <w:r>
        <w:rPr>
          <w:b/>
          <w:bCs/>
        </w:rPr>
        <w:t xml:space="preserve">What happens if something goes wrong — illness, fraud, redundancy, death?</w:t>
      </w:r>
      <w:r>
        <w:t xml:space="preserve"> That is Sections 7, 8 and 14.</w:t>
      </w:r>
    </w:p>
    <w:p>
      <w:pPr>
        <w:spacing w:after="60"/>
      </w:pPr>
    </w:p>
    <w:p>
      <w:pPr>
        <w:spacing w:after="140" w:line="276"/>
      </w:pPr>
      <w:r>
        <w:t xml:space="preserve">Everything else is detail hanging off those four. A household that can answer them is literate in the only sense that changes outcomes, whatever it does or does not know about managed funds.</w:t>
      </w:r>
    </w:p>
    <w:p>
      <w:pPr>
        <w:pStyle w:val="Heading2"/>
        <w:keepNext/>
        <w:spacing w:after="120" w:before="300"/>
      </w:pPr>
      <w:r>
        <w:rPr>
          <w:rFonts w:ascii="Cambria" w:cs="Cambria" w:eastAsia="Cambria" w:hAnsi="Cambria"/>
          <w:b/>
          <w:bCs/>
          <w:color w:val="26221E"/>
          <w:sz w:val="26"/>
          <w:szCs w:val="26"/>
        </w:rPr>
        <w:t xml:space="preserve">The gap between knowing and doing</w:t>
      </w:r>
    </w:p>
    <w:p>
      <w:pPr>
        <w:spacing w:after="140" w:line="276"/>
      </w:pPr>
      <w:r>
        <w:t xml:space="preserve">There is an uncomfortable finding buried in most financial-education research: knowledge and behaviour are only loosely related. People who score well on financial-knowledge tests do not reliably save more. Understanding that a credit card at 20.99% costs about four times what a mortgage at 5.9% does is not the hard part — acting on it while the mortgage feels more virtuous is.</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t xml:space="preserve">This app will tell you precisely what an extra $200 a fortnight does to your mortgage, or what a fourth day of work is worth after tax and childcare. It cannot make you do either. Almost everyone who fails at this fails on the doing, not the arithmetic — and no amount of better modelling fixes that. Pick one move, put a date on it, and tell someone.</w:t>
      </w:r>
    </w:p>
    <w:p>
      <w:pPr>
        <w:spacing w:after="140" w:line="276"/>
      </w:pPr>
      <w:r>
        <w:t xml:space="preserve">That is why the handbook keeps returning to two unglamorous ideas: make the thing visible, and make the next step small enough that it happens this week. Sections 11 and 10 — the psychology of spending, and how to talk about money with the person you share it with — are not soft additions at the back. They are where most of the failure actually happens.</w:t>
      </w:r>
    </w:p>
    <w:p>
      <w:pPr>
        <w:pStyle w:val="Heading2"/>
        <w:keepNext/>
        <w:spacing w:after="120" w:before="300"/>
      </w:pPr>
      <w:r>
        <w:rPr>
          <w:rFonts w:ascii="Cambria" w:cs="Cambria" w:eastAsia="Cambria" w:hAnsi="Cambria"/>
          <w:b/>
          <w:bCs/>
          <w:color w:val="26221E"/>
          <w:sz w:val="26"/>
          <w:szCs w:val="26"/>
        </w:rPr>
        <w:t xml:space="preserve">What the app is, and what it is not</w:t>
      </w:r>
    </w:p>
    <w:p>
      <w:pPr>
        <w:spacing w:after="140" w:line="276"/>
      </w:pPr>
      <w:r>
        <w:t xml:space="preserve">The </w:t>
      </w:r>
      <w:r>
        <w:rPr>
          <w:i/>
          <w:iCs/>
        </w:rPr>
        <w:t xml:space="preserve">Personal Financial Literacy</w:t>
      </w:r>
      <w:r>
        <w:t xml:space="preserve"> app is a single HTML file that runs in your browser. There is no account, no sign-in, and nothing is uploaded — your figures stay in that browser’s storage on that computer. It explains how tax, superannuation, credit and the Age Pension work, and lets you test decisions against your own numbers.</w:t>
      </w:r>
    </w:p>
    <w:p>
      <w:pPr>
        <w:spacing w:after="140" w:line="276"/>
      </w:pPr>
      <w:r>
        <w:t xml:space="preserve">It does not advise on your circumstances, and it does not consider your objectives, financial situation or needs. Nothing in it, or in this handbook, is financial, tax, credit or legal advice. Where a question needs a professional, the handbook says so and names the kind of professional to ask.</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4680"/>
        <w:gridCol w:w="4680"/>
      </w:tblGrid>
      <w:tr>
        <w:trPr>
          <w:tblHeader/>
        </w:trPr>
        <w:tc>
          <w:tcPr>
            <w:tcW w:type="dxa" w:w="4680"/>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The app is good at</w:t>
            </w:r>
          </w:p>
        </w:tc>
        <w:tc>
          <w:tcPr>
            <w:tcW w:type="dxa" w:w="4680"/>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The app cannot do</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Showing the whole year at once, so nothing hides in a fortnight</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Tell you whether a strategy suits your circumstances</w:t>
            </w:r>
          </w:p>
        </w:tc>
      </w:tr>
      <w:tr>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Working out tax, super, HELP and Age Pension mechanics from your figures</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Judge whether a will or nomination is valid</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Testing a decision — a purchase, a rate, a part-time year — before you make it</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Predict returns, inflation or property growth</w:t>
            </w:r>
          </w:p>
        </w:tc>
      </w:tr>
      <w:tr>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Keeping a record of what has been done, and how long ago</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Replace a solicitor, adviser, broker or tax agent</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Making the household position visible to both adults</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Make you act on what it shows you</w:t>
            </w:r>
          </w:p>
        </w:tc>
      </w:tr>
    </w:tbl>
    <w:p>
      <w:pPr>
        <w:spacing w:after="200"/>
      </w:pPr>
    </w:p>
    <w:p>
      <w:pPr>
        <w:pStyle w:val="Heading2"/>
        <w:keepNext/>
        <w:spacing w:after="120" w:before="300"/>
      </w:pPr>
      <w:r>
        <w:rPr>
          <w:rFonts w:ascii="Cambria" w:cs="Cambria" w:eastAsia="Cambria" w:hAnsi="Cambria"/>
          <w:b/>
          <w:bCs/>
          <w:color w:val="26221E"/>
          <w:sz w:val="26"/>
          <w:szCs w:val="26"/>
        </w:rPr>
        <w:t xml:space="preserve">The thirteen tabs, and where they appear in this handbook</w:t>
      </w:r>
    </w:p>
    <w:p>
      <w:pPr>
        <w:spacing w:after="140" w:line="276"/>
      </w:pPr>
      <w:r>
        <w:t xml:space="preserve">The app is organised as thirteen tabs. If you have not opened it yet, this table is the map — and it doubles as the contents of everything that follows.</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246"/>
        <w:gridCol w:w="5429"/>
        <w:gridCol w:w="1685"/>
      </w:tblGrid>
      <w:tr>
        <w:trPr>
          <w:tblHeader/>
        </w:trPr>
        <w:tc>
          <w:tcPr>
            <w:tcW w:type="dxa" w:w="2246"/>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Tab</w:t>
            </w:r>
          </w:p>
        </w:tc>
        <w:tc>
          <w:tcPr>
            <w:tcW w:type="dxa" w:w="5429"/>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it holds</w:t>
            </w:r>
          </w:p>
        </w:tc>
        <w:tc>
          <w:tcPr>
            <w:tcW w:type="dxa" w:w="1685"/>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Section</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Where you stand</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Six figures on one page; where the app opens</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1, 3</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Family details</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Who lives here; the heading on every printed page</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3, 9</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Balance sheet</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What you own and owe today</w:t>
            </w:r>
          </w:p>
        </w:tc>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4</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Income &amp; tax</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Salary, super, deductions, the payslip, other income</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5</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Retirement</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Drawdown, defined benefit, Age Pension, the health card</w:t>
            </w:r>
          </w:p>
        </w:tc>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12</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Budget</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Envelopes, by group, at whatever period you think in</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2, 3</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Projected Balance Sheet</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same sheet walked forward year by year</w:t>
            </w:r>
          </w:p>
        </w:tc>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13</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Your assumptions</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handful of guesses every projection rests on</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13</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Forecast</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Net worth over time, planned purchases, loan payoff</w:t>
            </w:r>
          </w:p>
        </w:tc>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13</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Family meeting</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monthly agenda, and what you decided</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2, 3, 11</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Kids’ corner</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Pocket money, chores, four jars, goals</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9</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If something happened</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Wills, attorneys, super nominations, where things are</w:t>
            </w:r>
          </w:p>
        </w:tc>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14</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Scams and fraud</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half hour of setup, and the first hour if it fails</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7</w:t>
            </w:r>
          </w:p>
        </w:tc>
      </w:tr>
    </w:tbl>
    <w:p>
      <w:pPr>
        <w:spacing w:after="200"/>
      </w:pP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2 · Why a household budget is necessary</w:t>
      </w:r>
    </w:p>
    <w:p>
      <w:pPr>
        <w:spacing w:after="220" w:line="290"/>
      </w:pPr>
      <w:r>
        <w:rPr>
          <w:i/>
          <w:iCs/>
          <w:color w:val="6B6258"/>
          <w:sz w:val="23"/>
          <w:szCs w:val="23"/>
        </w:rPr>
        <w:t xml:space="preserve">Budgets rarely fail on groceries. They fail on rego, insurance, the car service, the dentist and Christmas — the costs that never fall in the fortnight you happen to be looking at.</w:t>
      </w:r>
    </w:p>
    <w:p>
      <w:pPr>
        <w:spacing w:after="140" w:line="276"/>
      </w:pPr>
      <w:r>
        <w:t xml:space="preserve">Most households do not have a spending problem in the way the word is usually meant. They have a </w:t>
      </w:r>
      <w:r>
        <w:rPr>
          <w:i/>
          <w:iCs/>
        </w:rPr>
        <w:t xml:space="preserve">visibility</w:t>
      </w:r>
      <w:r>
        <w:t xml:space="preserve"> problem. Money arrives on a cycle — weekly, fortnightly, monthly — and the mind quietly assumes that costs arrive on the same cycle. They do not. A large part of what a household spends arrives once a year, at an awkward moment, in an amount nobody set aside for.</w:t>
      </w:r>
    </w:p>
    <w:p>
      <w:pPr>
        <w:spacing w:after="140" w:line="276"/>
      </w:pPr>
      <w:r>
        <w:t xml:space="preserve">The consequence is predictable and almost universal. The fortnight looks fine. The year does not. The gap gets covered by a credit card, a buy-now-pay-later arrangement, or the savings that were meant for something else — and because each individual event feels like bad luck rather than a pattern, the household concludes it is unlucky rather than under-planned.</w:t>
      </w:r>
    </w:p>
    <w:p>
      <w:pPr>
        <w:pStyle w:val="Heading2"/>
        <w:keepNext/>
        <w:spacing w:after="120" w:before="300"/>
      </w:pPr>
      <w:r>
        <w:rPr>
          <w:rFonts w:ascii="Cambria" w:cs="Cambria" w:eastAsia="Cambria" w:hAnsi="Cambria"/>
          <w:b/>
          <w:bCs/>
          <w:color w:val="26221E"/>
          <w:sz w:val="26"/>
          <w:szCs w:val="26"/>
        </w:rPr>
        <w:t xml:space="preserve">What a budget is actually for</w:t>
      </w:r>
    </w:p>
    <w:p>
      <w:pPr>
        <w:spacing w:after="140" w:line="276"/>
      </w:pPr>
      <w:r>
        <w:t xml:space="preserve">A budget is not a moral document and it is not a diet. It has three jobs, and only three:</w:t>
      </w:r>
    </w:p>
    <w:p>
      <w:pPr>
        <w:pStyle w:val="ListParagraph"/>
        <w:numPr>
          <w:ilvl w:val="0"/>
          <w:numId w:val="3"/>
        </w:numPr>
        <w:spacing w:after="80" w:line="270"/>
      </w:pPr>
      <w:r>
        <w:rPr>
          <w:b/>
          <w:bCs/>
        </w:rPr>
        <w:t xml:space="preserve">To make the year visible.</w:t>
      </w:r>
      <w:r>
        <w:t xml:space="preserve"> Every cost, at its real frequency, in one place — so the annual total is a fact rather than a shock.</w:t>
      </w:r>
    </w:p>
    <w:p>
      <w:pPr>
        <w:pStyle w:val="ListParagraph"/>
        <w:numPr>
          <w:ilvl w:val="0"/>
          <w:numId w:val="3"/>
        </w:numPr>
        <w:spacing w:after="80" w:line="270"/>
      </w:pPr>
      <w:r>
        <w:rPr>
          <w:b/>
          <w:bCs/>
        </w:rPr>
        <w:t xml:space="preserve">To give every dollar a job before it arrives.</w:t>
      </w:r>
      <w:r>
        <w:t xml:space="preserve"> Money without an assigned purpose gets spent; that is not a character flaw, it is how attention works.</w:t>
      </w:r>
    </w:p>
    <w:p>
      <w:pPr>
        <w:pStyle w:val="ListParagraph"/>
        <w:numPr>
          <w:ilvl w:val="0"/>
          <w:numId w:val="3"/>
        </w:numPr>
        <w:spacing w:after="80" w:line="270"/>
      </w:pPr>
      <w:r>
        <w:rPr>
          <w:b/>
          <w:bCs/>
        </w:rPr>
        <w:t xml:space="preserve">To turn arguments into arithmetic.</w:t>
      </w:r>
      <w:r>
        <w:t xml:space="preserve"> “We spend too much on takeaway” is a fight. “Takeaway is $4,160 a year, which is the holiday” is a decision.</w:t>
      </w:r>
    </w:p>
    <w:p>
      <w:pPr>
        <w:spacing w:after="60"/>
      </w:pP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t xml:space="preserve">The single most useful move in this app takes about four minutes: set the Budget period to </w:t>
      </w:r>
      <w:r>
        <w:rPr>
          <w:b/>
          <w:bCs/>
        </w:rPr>
        <w:t xml:space="preserve">Year</w:t>
      </w:r>
      <w:r>
        <w:t xml:space="preserve">, then press </w:t>
      </w:r>
      <w:r>
        <w:rPr>
          <w:b/>
          <w:bCs/>
        </w:rPr>
        <w:t xml:space="preserve">commonly forgotten bills</w:t>
      </w:r>
      <w:r>
        <w:t xml:space="preserve">. It adds seventeen envelopes at $0 — rego, insurances, rates, the car service, the dentist, the vet, Christmas, subscriptions and the rest — at their real frequencies. Fill in the ones you pay, delete the ones you do not. Most households discover somewhere between $4,000 and $12,000 a year they had never written down.</w:t>
      </w:r>
    </w:p>
    <w:p>
      <w:pPr>
        <w:pStyle w:val="Heading2"/>
        <w:keepNext/>
        <w:spacing w:after="120" w:before="300"/>
      </w:pPr>
      <w:r>
        <w:rPr>
          <w:rFonts w:ascii="Cambria" w:cs="Cambria" w:eastAsia="Cambria" w:hAnsi="Cambria"/>
          <w:b/>
          <w:bCs/>
          <w:color w:val="26221E"/>
          <w:sz w:val="26"/>
          <w:szCs w:val="26"/>
        </w:rPr>
        <w:t xml:space="preserve">The three numbers that matter more than the total</w:t>
      </w:r>
    </w:p>
    <w:p>
      <w:pPr>
        <w:pStyle w:val="Heading3"/>
        <w:keepNext/>
        <w:spacing w:after="90" w:before="220"/>
      </w:pPr>
      <w:r>
        <w:rPr>
          <w:rFonts w:ascii="Calibri" w:cs="Calibri" w:eastAsia="Calibri" w:hAnsi="Calibri"/>
          <w:b/>
          <w:bCs/>
          <w:color w:val="41607C"/>
          <w:sz w:val="21"/>
          <w:szCs w:val="21"/>
        </w:rPr>
        <w:t xml:space="preserve">1. The annual gap</w:t>
      </w:r>
    </w:p>
    <w:p>
      <w:pPr>
        <w:spacing w:after="140" w:line="276"/>
      </w:pPr>
      <w:r>
        <w:t xml:space="preserve">Income for the year, less planned spending for the year. If that number is negative, no amount of care with the weekly shop will fix it — the household is structurally short, and the fix has to be structural: a cost removed, income raised, or a debt restructured. Finding that out in an afternoon is worth more than a year of vigilance.</w:t>
      </w:r>
    </w:p>
    <w:p>
      <w:pPr>
        <w:pStyle w:val="Heading3"/>
        <w:keepNext/>
        <w:spacing w:after="90" w:before="220"/>
      </w:pPr>
      <w:r>
        <w:rPr>
          <w:rFonts w:ascii="Calibri" w:cs="Calibri" w:eastAsia="Calibri" w:hAnsi="Calibri"/>
          <w:b/>
          <w:bCs/>
          <w:color w:val="41607C"/>
          <w:sz w:val="21"/>
          <w:szCs w:val="21"/>
        </w:rPr>
        <w:t xml:space="preserve">2. The surplus</w:t>
      </w:r>
    </w:p>
    <w:p>
      <w:pPr>
        <w:spacing w:after="140" w:line="276"/>
      </w:pPr>
      <w:r>
        <w:t xml:space="preserve">Income that no envelope has claimed. The app reports it deliberately rather than banking it, because unallocated money tends to be spent. A large surplus is not a win — it is an instruction to give it a job: a savings envelope, a goal, or a debt.</w:t>
      </w:r>
    </w:p>
    <w:p>
      <w:pPr>
        <w:pStyle w:val="Heading3"/>
        <w:keepNext/>
        <w:spacing w:after="90" w:before="220"/>
      </w:pPr>
      <w:r>
        <w:rPr>
          <w:rFonts w:ascii="Calibri" w:cs="Calibri" w:eastAsia="Calibri" w:hAnsi="Calibri"/>
          <w:b/>
          <w:bCs/>
          <w:color w:val="41607C"/>
          <w:sz w:val="21"/>
          <w:szCs w:val="21"/>
        </w:rPr>
        <w:t xml:space="preserve">3. Months of cover</w:t>
      </w:r>
    </w:p>
    <w:p>
      <w:pPr>
        <w:spacing w:after="140" w:line="276"/>
      </w:pPr>
      <w:r>
        <w:t xml:space="preserve">How long the household could pay its committed costs with no income arriving. Under three months, the emergency fund is the first job, ahead of extra mortgage repayments — see Section 8.</w:t>
      </w:r>
    </w:p>
    <w:p>
      <w:pPr>
        <w:pStyle w:val="Heading2"/>
        <w:keepNext/>
        <w:spacing w:after="120" w:before="300"/>
      </w:pPr>
      <w:r>
        <w:rPr>
          <w:rFonts w:ascii="Cambria" w:cs="Cambria" w:eastAsia="Cambria" w:hAnsi="Cambria"/>
          <w:b/>
          <w:bCs/>
          <w:color w:val="26221E"/>
          <w:sz w:val="26"/>
          <w:szCs w:val="26"/>
        </w:rPr>
        <w:t xml:space="preserve">Why the household, not the individual</w:t>
      </w:r>
    </w:p>
    <w:p>
      <w:pPr>
        <w:spacing w:after="140" w:line="276"/>
      </w:pPr>
      <w:r>
        <w:t xml:space="preserve">Almost all of the money in a household is joint in effect even when it is separate in law. One person’s decision to salary-sacrifice changes what the household can spend this fortnight; one person’s undisclosed personal loan makes every projection wrong. A budget built by one adult in secret is an accounting exercise. A budget built by two is a plan.</w:t>
      </w:r>
    </w:p>
    <w:p>
      <w:pPr>
        <w:spacing w:after="140" w:line="276"/>
      </w:pPr>
      <w:r>
        <w:t xml:space="preserve">This is also the practical answer to the most common objection — </w:t>
      </w:r>
      <w:r>
        <w:rPr>
          <w:i/>
          <w:iCs/>
        </w:rPr>
        <w:t xml:space="preserve">“one of us is just not interested in this”</w:t>
      </w:r>
      <w:r>
        <w:t xml:space="preserve">. That is fine and very normal. What is not workable is the second person not knowing where anything is. Section 10 deals with the conversation; Section 14 deals with the consequences of never having it.</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3 · How the budgeting in the app works</w:t>
      </w:r>
    </w:p>
    <w:p>
      <w:pPr>
        <w:spacing w:after="220" w:line="290"/>
      </w:pPr>
      <w:r>
        <w:rPr>
          <w:i/>
          <w:iCs/>
          <w:color w:val="6B6258"/>
          <w:sz w:val="23"/>
          <w:szCs w:val="23"/>
        </w:rPr>
        <w:t xml:space="preserve">Envelopes, in four groups, each at its own real frequency — with one screen switch that converts the whole thing between a week, a fortnight, a month, a quarter and a year.</w:t>
      </w:r>
    </w:p>
    <w:p>
      <w:pPr>
        <w:spacing w:after="140" w:line="276"/>
      </w:pPr>
      <w:r>
        <w:t xml:space="preserve">The Budget tab uses the oldest system there is. Before electronic banking, households divided the pay into physical envelopes marked </w:t>
      </w:r>
      <w:r>
        <w:rPr>
          <w:i/>
          <w:iCs/>
        </w:rPr>
        <w:t xml:space="preserve">rent</w:t>
      </w:r>
      <w:r>
        <w:t xml:space="preserve">, </w:t>
      </w:r>
      <w:r>
        <w:rPr>
          <w:i/>
          <w:iCs/>
        </w:rPr>
        <w:t xml:space="preserve">power</w:t>
      </w:r>
      <w:r>
        <w:t xml:space="preserve">, </w:t>
      </w:r>
      <w:r>
        <w:rPr>
          <w:i/>
          <w:iCs/>
        </w:rPr>
        <w:t xml:space="preserve">food</w:t>
      </w:r>
      <w:r>
        <w:t xml:space="preserve">, and when an envelope was empty that category was finished for the period. The app keeps the logic and drops the cash: each envelope holds an amount you plan to spend, and you log spending against it.</w:t>
      </w:r>
    </w:p>
    <w:p>
      <w:pPr>
        <w:pStyle w:val="Heading2"/>
        <w:keepNext/>
        <w:spacing w:after="120" w:before="300"/>
      </w:pPr>
      <w:r>
        <w:rPr>
          <w:rFonts w:ascii="Cambria" w:cs="Cambria" w:eastAsia="Cambria" w:hAnsi="Cambria"/>
          <w:b/>
          <w:bCs/>
          <w:color w:val="26221E"/>
          <w:sz w:val="26"/>
          <w:szCs w:val="26"/>
        </w:rPr>
        <w:t xml:space="preserve">Step one — where the income comes from</w:t>
      </w:r>
    </w:p>
    <w:p>
      <w:pPr>
        <w:spacing w:after="140" w:line="276"/>
      </w:pPr>
      <w:r>
        <w:t xml:space="preserve">The income figure at the top of the Budget tab is normally not typed. It is the household’s take-home pay, calculated on the Income &amp; tax tab from salaries, super choices and deductions, and passed through automatically. That is why the income box on the Budget tab is locked by default.</w:t>
      </w:r>
    </w:p>
    <w:p>
      <w:pPr>
        <w:spacing w:after="140" w:line="276"/>
      </w:pPr>
      <w:r>
        <w:t xml:space="preserve">If you would rather not build a payslip — you are self-employed, your income varies, or you simply want a quick answer — switch the source to </w:t>
      </w:r>
      <w:r>
        <w:rPr>
          <w:b/>
          <w:bCs/>
        </w:rPr>
        <w:t xml:space="preserve">Type my own</w:t>
      </w:r>
      <w:r>
        <w:t xml:space="preserve"> and enter a net figure at whatever frequency it arrives. Everything downstream still works, with one exception: manually entered income cannot calculate a HELP repayment, because the app has no salary to assess it against.</w:t>
      </w:r>
    </w:p>
    <w:p>
      <w:pPr>
        <w:pStyle w:val="Heading2"/>
        <w:keepNext/>
        <w:spacing w:after="120" w:before="300"/>
      </w:pPr>
      <w:r>
        <w:rPr>
          <w:rFonts w:ascii="Cambria" w:cs="Cambria" w:eastAsia="Cambria" w:hAnsi="Cambria"/>
          <w:b/>
          <w:bCs/>
          <w:color w:val="26221E"/>
          <w:sz w:val="26"/>
          <w:szCs w:val="26"/>
        </w:rPr>
        <w:t xml:space="preserve">Step two — the four groups</w:t>
      </w:r>
    </w:p>
    <w:p>
      <w:pPr>
        <w:spacing w:after="140" w:line="276"/>
      </w:pPr>
      <w:r>
        <w:t xml:space="preserve">Every envelope belongs to one of four groups, and the group is the analytical point of the whole tab. Three households with identical total spending can be in completely different positions depending on how it is distributed.</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246"/>
        <w:gridCol w:w="4118"/>
        <w:gridCol w:w="2996"/>
      </w:tblGrid>
      <w:tr>
        <w:trPr>
          <w:tblHeader/>
        </w:trPr>
        <w:tc>
          <w:tcPr>
            <w:tcW w:type="dxa" w:w="2246"/>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Group</w:t>
            </w:r>
          </w:p>
        </w:tc>
        <w:tc>
          <w:tcPr>
            <w:tcW w:type="dxa" w:w="4118"/>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belongs in it</w:t>
            </w:r>
          </w:p>
        </w:tc>
        <w:tc>
          <w:tcPr>
            <w:tcW w:type="dxa" w:w="2996"/>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it tells you</w:t>
            </w:r>
          </w:p>
        </w:tc>
      </w:tr>
      <w:tr>
        <w:tc>
          <w:tcPr>
            <w:tcW w:type="dxa" w:w="2246"/>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Bills &amp; commitments</w:t>
            </w:r>
          </w:p>
        </w:tc>
        <w:tc>
          <w:tcPr>
            <w:tcW w:type="dxa" w:w="411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Rent or mortgage, power, water, phone, insurances, rates, rego, school fees</w:t>
            </w:r>
          </w:p>
        </w:tc>
        <w:tc>
          <w:tcPr>
            <w:tcW w:type="dxa" w:w="299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Your fixed floor — the amount that arrives whether or not you have a good month</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Everyday living</w:t>
            </w:r>
          </w:p>
        </w:tc>
        <w:tc>
          <w:tcPr>
            <w:tcW w:type="dxa" w:w="4118"/>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Groceries, fuel and transport, health, home maintenance, the vet</w:t>
            </w:r>
          </w:p>
        </w:tc>
        <w:tc>
          <w:tcPr>
            <w:tcW w:type="dxa" w:w="299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genuinely necessary but flexible middle</w:t>
            </w:r>
          </w:p>
        </w:tc>
      </w:tr>
      <w:tr>
        <w:tc>
          <w:tcPr>
            <w:tcW w:type="dxa" w:w="2246"/>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Lifestyle &amp; fun</w:t>
            </w:r>
          </w:p>
        </w:tc>
        <w:tc>
          <w:tcPr>
            <w:tcW w:type="dxa" w:w="411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Eating out, subscriptions, clothing, gifts, holidays</w:t>
            </w:r>
          </w:p>
        </w:tc>
        <w:tc>
          <w:tcPr>
            <w:tcW w:type="dxa" w:w="299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Where change is possible quickly, and where guilt is usually misplaced</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Savings &amp; goals</w:t>
            </w:r>
          </w:p>
        </w:tc>
        <w:tc>
          <w:tcPr>
            <w:tcW w:type="dxa" w:w="4118"/>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General savings, the emergency fund, and every named goal</w:t>
            </w:r>
          </w:p>
        </w:tc>
        <w:tc>
          <w:tcPr>
            <w:tcW w:type="dxa" w:w="299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Treated as a cost, not as leftovers — which is the entire trick</w:t>
            </w:r>
          </w:p>
        </w:tc>
      </w:tr>
    </w:tbl>
    <w:p>
      <w:pPr>
        <w:spacing w:after="200"/>
      </w:pPr>
    </w:p>
    <w:p>
      <w:pPr>
        <w:spacing w:after="140" w:line="276"/>
      </w:pPr>
      <w:r>
        <w:t xml:space="preserve">The fourth group is the one that does the work. Saving whatever is left at the end of the fortnight is not a plan, because there is never anything left. Entering savings as an envelope — a cost the household pays itself, alongside the electricity — is what makes it happen. Households that do this reliably save more than households with higher incomes that do not.</w:t>
      </w:r>
    </w:p>
    <w:p>
      <w:pPr>
        <w:pStyle w:val="Heading2"/>
        <w:keepNext/>
        <w:spacing w:after="120" w:before="300"/>
      </w:pPr>
      <w:r>
        <w:rPr>
          <w:rFonts w:ascii="Cambria" w:cs="Cambria" w:eastAsia="Cambria" w:hAnsi="Cambria"/>
          <w:b/>
          <w:bCs/>
          <w:color w:val="26221E"/>
          <w:sz w:val="26"/>
          <w:szCs w:val="26"/>
        </w:rPr>
        <w:t xml:space="preserve">Step three — each envelope at its own frequency</w:t>
      </w:r>
    </w:p>
    <w:p>
      <w:pPr>
        <w:spacing w:after="140" w:line="276"/>
      </w:pPr>
      <w:r>
        <w:t xml:space="preserve">This is the feature that separates the app from a spreadsheet. Each envelope is entered at the rhythm at which the money actually leaves: groceries weekly, rent monthly, car registration yearly, the dentist yearly. The app converts everything to whatever period is on screen.</w:t>
      </w:r>
    </w:p>
    <w:p>
      <w:pPr>
        <w:spacing w:after="140" w:line="276"/>
      </w:pPr>
      <w:r>
        <w:t xml:space="preserve">Nothing about the annual totals changes — everything about their accuracy does. A $920 registration entered as a yearly envelope shows as $35.38 a fortnight, sitting quietly in the plan all year, so that when the notice arrives the money is a line item rather than an emergency.</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Build it in Year first, then operate it in your pay cycle.</w:t>
      </w:r>
      <w:r>
        <w:t xml:space="preserve"> The year is the only view where every expense appears exactly once. Once the yearly picture is honest, switch the period selector to your fortnight and use it — the figures convert themselves, and each card shows what you entered, the amount in the period on screen, and the annual cost.</w:t>
      </w:r>
    </w:p>
    <w:p>
      <w:pPr>
        <w:pStyle w:val="Heading2"/>
        <w:keepNext/>
        <w:spacing w:after="120" w:before="300"/>
      </w:pPr>
      <w:r>
        <w:rPr>
          <w:rFonts w:ascii="Cambria" w:cs="Cambria" w:eastAsia="Cambria" w:hAnsi="Cambria"/>
          <w:b/>
          <w:bCs/>
          <w:color w:val="26221E"/>
          <w:sz w:val="26"/>
          <w:szCs w:val="26"/>
        </w:rPr>
        <w:t xml:space="preserve">Step four — logging spending, and closing the period</w:t>
      </w:r>
    </w:p>
    <w:p>
      <w:pPr>
        <w:spacing w:after="140" w:line="276"/>
      </w:pPr>
      <w:r>
        <w:t xml:space="preserve">Day to day, you log an expense against a category: pick the envelope, type the amount, press Enter. Each envelope shows how much has gone in, how much is left, and turns terracotta when it is over. The five summary cards at the top hold income, allocated, spent, left and the surplus.</w:t>
      </w:r>
    </w:p>
    <w:p>
      <w:pPr>
        <w:spacing w:after="140" w:line="276"/>
      </w:pPr>
      <w:r>
        <w:t xml:space="preserve">At the end of a fortnight you press </w:t>
      </w:r>
      <w:r>
        <w:rPr>
          <w:b/>
          <w:bCs/>
        </w:rPr>
        <w:t xml:space="preserve">Close period</w:t>
      </w:r>
      <w:r>
        <w:t xml:space="preserve">. That stamps the period, files what was spent, and starts the next one clean. The point is not record-keeping for its own sake; it is that a closed period is a comparison — this fortnight against the last four — and comparison is where drift becomes visible.</w:t>
      </w:r>
    </w:p>
    <w:p>
      <w:pPr>
        <w:pStyle w:val="Heading2"/>
        <w:keepNext/>
        <w:spacing w:after="120" w:before="300"/>
      </w:pPr>
      <w:r>
        <w:rPr>
          <w:rFonts w:ascii="Cambria" w:cs="Cambria" w:eastAsia="Cambria" w:hAnsi="Cambria"/>
          <w:b/>
          <w:bCs/>
          <w:color w:val="26221E"/>
          <w:sz w:val="26"/>
          <w:szCs w:val="26"/>
        </w:rPr>
        <w:t xml:space="preserve">Step five — envelopes that become funds</w:t>
      </w:r>
    </w:p>
    <w:p>
      <w:pPr>
        <w:spacing w:after="140" w:line="276"/>
      </w:pPr>
      <w:r>
        <w:t xml:space="preserve">An envelope in the Savings &amp; goals group can be marked </w:t>
      </w:r>
      <w:r>
        <w:rPr>
          <w:b/>
          <w:bCs/>
        </w:rPr>
        <w:t xml:space="preserve">build its own fund in the forecast</w:t>
      </w:r>
      <w:r>
        <w:t xml:space="preserve">. That turns it from a flow into a stock: a named pot that grows year by year in the projection, waiting to be spent by a planned purchase that nominates it.</w:t>
      </w:r>
    </w:p>
    <w:p>
      <w:pPr>
        <w:pStyle w:val="ListParagraph"/>
        <w:numPr>
          <w:ilvl w:val="0"/>
          <w:numId w:val="3"/>
        </w:numPr>
        <w:spacing w:after="80" w:line="270"/>
      </w:pPr>
      <w:r>
        <w:t xml:space="preserve">An envelope named simply </w:t>
      </w:r>
      <w:r>
        <w:rPr>
          <w:b/>
          <w:bCs/>
        </w:rPr>
        <w:t xml:space="preserve">Savings</w:t>
      </w:r>
      <w:r>
        <w:t xml:space="preserve"> feeds the general savings pool.</w:t>
      </w:r>
    </w:p>
    <w:p>
      <w:pPr>
        <w:pStyle w:val="ListParagraph"/>
        <w:numPr>
          <w:ilvl w:val="0"/>
          <w:numId w:val="3"/>
        </w:numPr>
        <w:spacing w:after="80" w:line="270"/>
      </w:pPr>
      <w:r>
        <w:t xml:space="preserve">An envelope beginning </w:t>
      </w:r>
      <w:r>
        <w:rPr>
          <w:b/>
          <w:bCs/>
        </w:rPr>
        <w:t xml:space="preserve">Emergency</w:t>
      </w:r>
      <w:r>
        <w:t xml:space="preserve"> feeds the emergency fund, which earns interest and is held separately.</w:t>
      </w:r>
    </w:p>
    <w:p>
      <w:pPr>
        <w:pStyle w:val="ListParagraph"/>
        <w:numPr>
          <w:ilvl w:val="0"/>
          <w:numId w:val="3"/>
        </w:numPr>
        <w:spacing w:after="80" w:line="270"/>
      </w:pPr>
      <w:r>
        <w:t xml:space="preserve">Any other named goal — </w:t>
      </w:r>
      <w:r>
        <w:rPr>
          <w:b/>
          <w:bCs/>
        </w:rPr>
        <w:t xml:space="preserve">New Caravan</w:t>
      </w:r>
      <w:r>
        <w:t xml:space="preserve">, </w:t>
      </w:r>
      <w:r>
        <w:rPr>
          <w:b/>
          <w:bCs/>
        </w:rPr>
        <w:t xml:space="preserve">Bali 2028</w:t>
      </w:r>
      <w:r>
        <w:t xml:space="preserve">, </w:t>
      </w:r>
      <w:r>
        <w:rPr>
          <w:b/>
          <w:bCs/>
        </w:rPr>
        <w:t xml:space="preserve">Roof</w:t>
      </w:r>
      <w:r>
        <w:t xml:space="preserve"> — builds its own visible column in the forecast.</w:t>
      </w:r>
    </w:p>
    <w:p>
      <w:pPr>
        <w:spacing w:after="60"/>
      </w:pPr>
    </w:p>
    <w:p>
      <w:pPr>
        <w:spacing w:after="140" w:line="276"/>
      </w:pPr>
      <w:r>
        <w:t xml:space="preserve">This is also why the app insists you name the thing. </w:t>
      </w:r>
      <w:r>
        <w:rPr>
          <w:i/>
          <w:iCs/>
        </w:rPr>
        <w:t xml:space="preserve">“More savings”</w:t>
      </w:r>
      <w:r>
        <w:t xml:space="preserve"> is not funded by anyone. </w:t>
      </w:r>
      <w:r>
        <w:rPr>
          <w:i/>
          <w:iCs/>
        </w:rPr>
        <w:t xml:space="preserve">“Bali 2028”</w:t>
      </w:r>
      <w:r>
        <w:t xml:space="preserve">, with a real price and a real year, is.</w:t>
      </w:r>
    </w:p>
    <w:p>
      <w:pPr>
        <w:pStyle w:val="Heading2"/>
        <w:keepNext/>
        <w:spacing w:after="120" w:before="300"/>
      </w:pPr>
      <w:r>
        <w:rPr>
          <w:rFonts w:ascii="Cambria" w:cs="Cambria" w:eastAsia="Cambria" w:hAnsi="Cambria"/>
          <w:b/>
          <w:bCs/>
          <w:color w:val="26221E"/>
          <w:sz w:val="26"/>
          <w:szCs w:val="26"/>
        </w:rPr>
        <w:t xml:space="preserve">Reading the budget honestly</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246"/>
        <w:gridCol w:w="3931"/>
        <w:gridCol w:w="3183"/>
      </w:tblGrid>
      <w:tr>
        <w:trPr>
          <w:tblHeader/>
        </w:trPr>
        <w:tc>
          <w:tcPr>
            <w:tcW w:type="dxa" w:w="2246"/>
            <w:shd w:fill="7C7A2F"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you see</w:t>
            </w:r>
          </w:p>
        </w:tc>
        <w:tc>
          <w:tcPr>
            <w:tcW w:type="dxa" w:w="3931"/>
            <w:shd w:fill="7C7A2F"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it means</w:t>
            </w:r>
          </w:p>
        </w:tc>
        <w:tc>
          <w:tcPr>
            <w:tcW w:type="dxa" w:w="3183"/>
            <w:shd w:fill="7C7A2F"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to do</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large surplus</w:t>
            </w:r>
          </w:p>
        </w:tc>
        <w:tc>
          <w:tcPr>
            <w:tcW w:type="dxa" w:w="3931"/>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Income no envelope has claimed</w:t>
            </w:r>
          </w:p>
        </w:tc>
        <w:tc>
          <w:tcPr>
            <w:tcW w:type="dxa" w:w="318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Give it a job — a goal, a debt, or super. It will otherwise be spent</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negative annual gap</w:t>
            </w:r>
          </w:p>
        </w:tc>
        <w:tc>
          <w:tcPr>
            <w:tcW w:type="dxa" w:w="3931"/>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plan does not fund the year</w:t>
            </w:r>
          </w:p>
        </w:tc>
        <w:tc>
          <w:tcPr>
            <w:tcW w:type="dxa" w:w="318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Structural fix needed, not vigilance. Start with the biggest bills line</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An envelope over every period</w:t>
            </w:r>
          </w:p>
        </w:tc>
        <w:tc>
          <w:tcPr>
            <w:tcW w:type="dxa" w:w="3931"/>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figure was a wish, not an estimate</w:t>
            </w:r>
          </w:p>
        </w:tc>
        <w:tc>
          <w:tcPr>
            <w:tcW w:type="dxa" w:w="318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Raise it to the truth and cut elsewhere. A budget you cannot meet gets abandoned</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Savings envelopes at $0</w:t>
            </w:r>
          </w:p>
        </w:tc>
        <w:tc>
          <w:tcPr>
            <w:tcW w:type="dxa" w:w="3931"/>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Saving is being attempted from leftovers</w:t>
            </w:r>
          </w:p>
        </w:tc>
        <w:tc>
          <w:tcPr>
            <w:tcW w:type="dxa" w:w="318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Move a real amount into Savings &amp; goals before the fortnight starts</w:t>
            </w:r>
          </w:p>
        </w:tc>
      </w:tr>
      <w:tr>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Bills group above about half of income</w:t>
            </w:r>
          </w:p>
        </w:tc>
        <w:tc>
          <w:tcPr>
            <w:tcW w:type="dxa" w:w="3931"/>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Very little room to absorb anything</w:t>
            </w:r>
          </w:p>
        </w:tc>
        <w:tc>
          <w:tcPr>
            <w:tcW w:type="dxa" w:w="318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Section 6 — the debt and commitment review</w:t>
            </w:r>
          </w:p>
        </w:tc>
      </w:tr>
    </w:tbl>
    <w:p>
      <w:pPr>
        <w:spacing w:after="200"/>
      </w:pPr>
    </w:p>
    <w:p>
      <w:pPr>
        <w:spacing w:after="200" w:before="60" w:line="260"/>
      </w:pPr>
      <w:r>
        <w:rPr>
          <w:i/>
          <w:iCs/>
          <w:color w:val="6B6258"/>
          <w:sz w:val="19"/>
          <w:szCs w:val="19"/>
        </w:rPr>
        <w:t xml:space="preserve">Common trap: if a novated lease or salary packaging is already coming out before tax on the Income &amp; tax tab, do not budget for the car’s running costs again in an envelope. The lease covers them, and counting both makes the household look poorer than it is.</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4 · What a household balance sheet is</w:t>
      </w:r>
    </w:p>
    <w:p>
      <w:pPr>
        <w:spacing w:after="220" w:line="290"/>
      </w:pPr>
      <w:r>
        <w:rPr>
          <w:i/>
          <w:iCs/>
          <w:color w:val="6B6258"/>
          <w:sz w:val="23"/>
          <w:szCs w:val="23"/>
        </w:rPr>
        <w:t xml:space="preserve">A photograph of your finances on one day. Everything you own on one side, everything you owe on the other. The difference is genuinely yours.</w:t>
      </w:r>
    </w:p>
    <w:p>
      <w:pPr>
        <w:spacing w:after="140" w:line="276"/>
      </w:pPr>
      <w:r>
        <w:t xml:space="preserve">The budget is a film — money moving over time. The balance sheet is a still photograph: where the household stands on a particular date. Businesses have produced one for centuries, and the reason households rarely do is habit rather than difficulty. It takes about twenty minutes.</w:t>
      </w:r>
    </w:p>
    <w:p>
      <w:pPr>
        <w:spacing w:after="140" w:line="276"/>
      </w:pPr>
      <w:r>
        <w:t xml:space="preserve">Assets are what you own: the house, the cars, the bank accounts, superannuation, shares, the caravan. Liabilities are what you owe: the mortgage, the car loan, the credit card, the study loan. Subtract the second from the first and what remains is your </w:t>
      </w:r>
      <w:r>
        <w:rPr>
          <w:b/>
          <w:bCs/>
        </w:rPr>
        <w:t xml:space="preserve">net worth</w:t>
      </w:r>
      <w:r>
        <w:t xml:space="preserve"> — sometimes called equity.</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Net worth matters more than income, and it is the number most households have never worked out.</w:t>
      </w:r>
      <w:r>
        <w:t xml:space="preserve"> Two households on identical salaries can be in completely different positions: one with $400,000 of equity and no consumer debt, the other with a leased car, a card balance and nothing behind it. Income tells you what arrives. Net worth tells you what has been kept.</w:t>
      </w:r>
    </w:p>
    <w:p>
      <w:pPr>
        <w:pStyle w:val="Heading2"/>
        <w:keepNext/>
        <w:spacing w:after="120" w:before="300"/>
      </w:pPr>
      <w:r>
        <w:rPr>
          <w:rFonts w:ascii="Cambria" w:cs="Cambria" w:eastAsia="Cambria" w:hAnsi="Cambria"/>
          <w:b/>
          <w:bCs/>
          <w:color w:val="26221E"/>
          <w:sz w:val="26"/>
          <w:szCs w:val="26"/>
        </w:rPr>
        <w:t xml:space="preserve">Why once a year is enough</w:t>
      </w:r>
    </w:p>
    <w:p>
      <w:pPr>
        <w:spacing w:after="140" w:line="276"/>
      </w:pPr>
      <w:r>
        <w:t xml:space="preserve">A balance sheet is not a thing to watch. Its value comes from comparison: this 30 June against last 30 June. The direction of travel, and </w:t>
      </w:r>
      <w:r>
        <w:rPr>
          <w:i/>
          <w:iCs/>
        </w:rPr>
        <w:t xml:space="preserve">why</w:t>
      </w:r>
      <w:r>
        <w:t xml:space="preserve"> it moved, is the whole lesson. Did net worth rise because the house was revalued, or because debt actually fell? Those are very different years, and only the second is under your control.</w:t>
      </w:r>
    </w:p>
    <w:p>
      <w:pPr>
        <w:pStyle w:val="Heading2"/>
        <w:keepNext/>
        <w:spacing w:after="120" w:before="300"/>
      </w:pPr>
      <w:r>
        <w:rPr>
          <w:rFonts w:ascii="Cambria" w:cs="Cambria" w:eastAsia="Cambria" w:hAnsi="Cambria"/>
          <w:b/>
          <w:bCs/>
          <w:color w:val="26221E"/>
          <w:sz w:val="26"/>
          <w:szCs w:val="26"/>
        </w:rPr>
        <w:t xml:space="preserve">What goes on it — and what does not</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4680"/>
        <w:gridCol w:w="4680"/>
      </w:tblGrid>
      <w:tr>
        <w:trPr>
          <w:tblHeader/>
        </w:trPr>
        <w:tc>
          <w:tcPr>
            <w:tcW w:type="dxa" w:w="4680"/>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Assets — what you own</w:t>
            </w:r>
          </w:p>
        </w:tc>
        <w:tc>
          <w:tcPr>
            <w:tcW w:type="dxa" w:w="4680"/>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Liabilities — what you owe</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Cash and savings accounts, term deposits</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Mortgage on the home</w:t>
            </w:r>
          </w:p>
        </w:tc>
      </w:tr>
      <w:tr>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Emergency fund (held separately, earns interest)</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Investment property loans</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Superannuation — always owned by one person, never joint</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Car and personal loans</w:t>
            </w:r>
          </w:p>
        </w:tc>
      </w:tr>
      <w:tr>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family home</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Credit cards and buy-now-pay-later balances</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Investment property</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Study loans (HELP) — in their own category, last</w:t>
            </w:r>
          </w:p>
        </w:tc>
      </w:tr>
      <w:tr>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Shares and managed investments</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Anything owed to family, if it is genuinely a debt</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Vehicles, caravan, boat (they depreciate — see below)</w:t>
            </w:r>
          </w:p>
        </w:tc>
        <w:tc>
          <w:tcPr>
            <w:tcW w:type="dxa" w:w="4680"/>
            <w:tcMar>
              <w:top w:type="dxa" w:w="80"/>
              <w:left w:type="dxa" w:w="110"/>
              <w:bottom w:type="dxa" w:w="80"/>
              <w:right w:type="dxa" w:w="110"/>
            </w:tcMar>
          </w:tcPr>
          <w:p>
            <w:pPr>
              <w:spacing w:after="0" w:line="250"/>
            </w:pPr>
          </w:p>
        </w:tc>
      </w:tr>
    </w:tbl>
    <w:p>
      <w:pPr>
        <w:spacing w:after="200"/>
      </w:pPr>
    </w:p>
    <w:p>
      <w:pPr>
        <w:spacing w:after="140" w:line="276"/>
      </w:pPr>
      <w:r>
        <w:t xml:space="preserve">Three practical rules make the exercise honest. Value the house at what it would actually sell for, not at the optimistic number. Include every debt, including the ones that are embarrassing — the forecast is only as honest as the list. And record the </w:t>
      </w:r>
      <w:r>
        <w:rPr>
          <w:b/>
          <w:bCs/>
        </w:rPr>
        <w:t xml:space="preserve">institution</w:t>
      </w:r>
      <w:r>
        <w:t xml:space="preserve"> against each item (which bank, which fund, which insurer) but never the account number: that field exists so the </w:t>
      </w:r>
      <w:r>
        <w:rPr>
          <w:i/>
          <w:iCs/>
        </w:rPr>
        <w:t xml:space="preserve">If something happened</w:t>
      </w:r>
      <w:r>
        <w:t xml:space="preserve"> page in Section 14 can be printed for an executor.</w:t>
      </w:r>
    </w:p>
    <w:p>
      <w:pPr>
        <w:pStyle w:val="Heading2"/>
        <w:keepNext/>
        <w:spacing w:after="120" w:before="300"/>
      </w:pPr>
      <w:r>
        <w:rPr>
          <w:rFonts w:ascii="Cambria" w:cs="Cambria" w:eastAsia="Cambria" w:hAnsi="Cambria"/>
          <w:b/>
          <w:bCs/>
          <w:color w:val="26221E"/>
          <w:sz w:val="26"/>
          <w:szCs w:val="26"/>
        </w:rPr>
        <w:t xml:space="preserve">How the app handles it</w:t>
      </w:r>
    </w:p>
    <w:p>
      <w:pPr>
        <w:spacing w:after="140" w:line="276"/>
      </w:pPr>
      <w:r>
        <w:t xml:space="preserve">There are two balance sheet tabs, and the difference matters:</w:t>
      </w:r>
    </w:p>
    <w:p>
      <w:pPr>
        <w:pStyle w:val="ListParagraph"/>
        <w:numPr>
          <w:ilvl w:val="0"/>
          <w:numId w:val="3"/>
        </w:numPr>
        <w:spacing w:after="80" w:line="270"/>
      </w:pPr>
      <w:r>
        <w:rPr>
          <w:b/>
          <w:bCs/>
        </w:rPr>
        <w:t xml:space="preserve">Balance sheet</w:t>
      </w:r>
      <w:r>
        <w:t xml:space="preserve"> — where you stand today. Fully editable. Drag any item between categories; tap it to edit the details.</w:t>
      </w:r>
    </w:p>
    <w:p>
      <w:pPr>
        <w:pStyle w:val="ListParagraph"/>
        <w:numPr>
          <w:ilvl w:val="0"/>
          <w:numId w:val="3"/>
        </w:numPr>
        <w:spacing w:after="80" w:line="270"/>
      </w:pPr>
      <w:r>
        <w:rPr>
          <w:b/>
          <w:bCs/>
        </w:rPr>
        <w:t xml:space="preserve">Projected Balance Sheet</w:t>
      </w:r>
      <w:r>
        <w:t xml:space="preserve"> — the same sheet walked forward year by year on your assumptions. A projection, not a record, which its heading says on every year.</w:t>
      </w:r>
    </w:p>
    <w:p>
      <w:pPr>
        <w:spacing w:after="60"/>
      </w:pPr>
    </w:p>
    <w:p>
      <w:pPr>
        <w:spacing w:after="140" w:line="276"/>
      </w:pPr>
      <w:r>
        <w:t xml:space="preserve">Items carry their own behaviour. Property grows at the property-growth rate; vehicles depreciate by a percentage of their remaining value each year (which is why a car never quite reaches zero); super and investments grow at the investment return; cash earns the cash rate. You can override the growth rate on any individual item.</w:t>
      </w:r>
    </w:p>
    <w:p>
      <w:pPr>
        <w:pStyle w:val="Heading3"/>
        <w:keepNext/>
        <w:spacing w:after="90" w:before="220"/>
      </w:pPr>
      <w:r>
        <w:rPr>
          <w:rFonts w:ascii="Calibri" w:cs="Calibri" w:eastAsia="Calibri" w:hAnsi="Calibri"/>
          <w:b/>
          <w:bCs/>
          <w:color w:val="41607C"/>
          <w:sz w:val="21"/>
          <w:szCs w:val="21"/>
        </w:rPr>
        <w:t xml:space="preserve">Two things about super</w:t>
      </w:r>
    </w:p>
    <w:p>
      <w:pPr>
        <w:spacing w:after="140" w:line="276"/>
      </w:pPr>
      <w:r>
        <w:rPr>
          <w:b/>
          <w:bCs/>
        </w:rPr>
        <w:t xml:space="preserve">Super always belongs to one person.</w:t>
      </w:r>
      <w:r>
        <w:t xml:space="preserve"> Set </w:t>
      </w:r>
      <w:r>
        <w:rPr>
          <w:i/>
          <w:iCs/>
        </w:rPr>
        <w:t xml:space="preserve">Whose?</w:t>
      </w:r>
      <w:r>
        <w:t xml:space="preserve"> on each super account. Anything left as joint cannot be drawn as that person’s pension in the retirement projection, which is the usual explanation for “my partner’s drawdown is not appearing”.</w:t>
      </w:r>
    </w:p>
    <w:p>
      <w:pPr>
        <w:spacing w:after="140" w:line="276"/>
      </w:pPr>
      <w:r>
        <w:rPr>
          <w:b/>
          <w:bCs/>
        </w:rPr>
        <w:t xml:space="preserve">Super usually does not pass under your will.</w:t>
      </w:r>
      <w:r>
        <w:t xml:space="preserve"> It is paid at the trustee’s discretion unless there is a valid binding death benefit nomination. Because most Australian households hold the bulk of their wealth in super, this is arguably the single most important fact in the entire handbook. Section 14 deals with it.</w:t>
      </w:r>
    </w:p>
    <w:p>
      <w:pPr>
        <w:pStyle w:val="Heading3"/>
        <w:keepNext/>
        <w:spacing w:after="90" w:before="220"/>
      </w:pPr>
      <w:r>
        <w:rPr>
          <w:rFonts w:ascii="Calibri" w:cs="Calibri" w:eastAsia="Calibri" w:hAnsi="Calibri"/>
          <w:b/>
          <w:bCs/>
          <w:color w:val="41607C"/>
          <w:sz w:val="21"/>
          <w:szCs w:val="21"/>
        </w:rPr>
        <w:t xml:space="preserve">Study loans behave unlike anything else</w:t>
      </w:r>
    </w:p>
    <w:p>
      <w:pPr>
        <w:spacing w:after="140" w:line="276"/>
      </w:pPr>
      <w:r>
        <w:t xml:space="preserve">A HELP debt sits last, in its own category, with no repayment figure — and that placement is deliberate. It charges no interest. It is indexed once a year on 1 June at the lower of price growth or wage growth, so it cannot outrun wages. Nothing is payable while income is below the threshold. It is cancelled on death, except for a repayment already raised on an assessment. Enter the balance from myGov and the app works the repayment out from income on the Income &amp; tax tab.</w:t>
      </w: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rPr>
          <w:b/>
          <w:bCs/>
        </w:rPr>
        <w:t xml:space="preserve">Why is my HELP balance going up while I am paying it?</w:t>
      </w:r>
      <w:r>
        <w:t xml:space="preserve"> That is real, not a fault. Indexation applies on 1 June to whatever is owing at that moment, and your compulsory repayment is not credited until your return is assessed — after that date. So you are always indexed on a balance that has not yet had this year’s repayment taken off. If the repayment is smaller than the indexation charge, the balance rises despite paying. It corrects itself as income grows.</w:t>
      </w:r>
    </w:p>
    <w:p>
      <w:pPr>
        <w:pStyle w:val="Heading2"/>
        <w:keepNext/>
        <w:spacing w:after="120" w:before="300"/>
      </w:pPr>
      <w:r>
        <w:rPr>
          <w:rFonts w:ascii="Cambria" w:cs="Cambria" w:eastAsia="Cambria" w:hAnsi="Cambria"/>
          <w:b/>
          <w:bCs/>
          <w:color w:val="26221E"/>
          <w:sz w:val="26"/>
          <w:szCs w:val="26"/>
        </w:rPr>
        <w:t xml:space="preserve">The stock and the flow</w:t>
      </w:r>
    </w:p>
    <w:p>
      <w:pPr>
        <w:spacing w:after="140" w:line="276"/>
      </w:pPr>
      <w:r>
        <w:t xml:space="preserve">One idea ties the budget and the balance sheet together, and once it lands the app makes complete sense. Nearly every important item exists twice:</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4680"/>
        <w:gridCol w:w="4680"/>
      </w:tblGrid>
      <w:tr>
        <w:trPr>
          <w:tblHeader/>
        </w:trPr>
        <w:tc>
          <w:tcPr>
            <w:tcW w:type="dxa" w:w="4680"/>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The flow (Budget)</w:t>
            </w:r>
          </w:p>
        </w:tc>
        <w:tc>
          <w:tcPr>
            <w:tcW w:type="dxa" w:w="4680"/>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The stock (Balance sheet)</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Mortgage envelope — what you pay each fortnight</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mortgage balance — what is still owed</w:t>
            </w:r>
          </w:p>
        </w:tc>
      </w:tr>
      <w:tr>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Emergency Fund envelope — what goes in each pay</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emergency fund account — what has accumulated</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Savings goal envelope — the contribution</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named fund growing in the forecast</w:t>
            </w:r>
          </w:p>
        </w:tc>
      </w:tr>
      <w:tr>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Employer super and salary sacrifice on the payslip</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super balance, after 15% contributions tax</w:t>
            </w:r>
          </w:p>
        </w:tc>
      </w:tr>
    </w:tbl>
    <w:p>
      <w:pPr>
        <w:spacing w:after="200"/>
      </w:pPr>
    </w:p>
    <w:p>
      <w:pPr>
        <w:spacing w:after="140" w:line="276"/>
      </w:pPr>
      <w:r>
        <w:t xml:space="preserve">The app links them, which is why the two Emergency Fund entries are not a duplication. One is what goes in; the other is what is there.</w:t>
      </w:r>
    </w:p>
    <w:p>
      <w:pPr>
        <w:spacing w:after="130"/>
      </w:pPr>
      <w:r>
        <w:rPr>
          <w:b/>
          <w:bCs/>
        </w:rPr>
        <w:t xml:space="preserve">The app now shows the movement between them. </w:t>
      </w:r>
      <w:r>
        <w:t xml:space="preserve">On the Forecast tab, </w:t>
      </w:r>
      <w:r>
        <w:rPr>
          <w:b/>
          <w:bCs/>
        </w:rPr>
        <w:t xml:space="preserve">Where a year’s change came from</w:t>
      </w:r>
      <w:r>
        <w:t xml:space="preserve"> takes a single year and separates the change in your net worth into the parts it is made of: money you put in, anything you bought or sold, debt principal you repaid against anything newly borrowed, and what your assets did on their own. That last line is the stock rising while the flow stands still — a house that gained $40,000 makes you $40,000 better off and leaves you not one dollar better able to pay a bill.</w:t>
      </w:r>
    </w:p>
    <w:p>
      <w:pPr>
        <w:spacing w:after="130"/>
      </w:pPr>
      <w:r>
        <w:rPr>
          <w:b/>
          <w:bCs/>
        </w:rPr>
        <w:t xml:space="preserve">There is a button marked </w:t>
      </w:r>
      <w:r>
        <w:rPr>
          <w:b/>
          <w:bCs/>
        </w:rPr>
        <w:t xml:space="preserve">Explain this to me</w:t>
      </w:r>
      <w:r>
        <w:t xml:space="preserve">, and it is worth pressing at least once. It writes the year out as a sentence — net worth up this much, cash down that much, and which of the two the difference was. Households who have never separated the two often find that the year they felt poorest was a year their net worth rose, and that is not a contradiction. It is the stock and the flow, and it is the reason both halves of this app exist.</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5 · Income, tax and the payslip</w:t>
      </w:r>
    </w:p>
    <w:p>
      <w:pPr>
        <w:spacing w:after="220" w:line="290"/>
      </w:pPr>
      <w:r>
        <w:rPr>
          <w:i/>
          <w:iCs/>
          <w:color w:val="6B6258"/>
          <w:sz w:val="23"/>
          <w:szCs w:val="23"/>
        </w:rPr>
        <w:t xml:space="preserve">Budgeting starts with take-home pay, and most people have never seen theirs built up line by line. This is the section nobody asks for and everybody benefits from.</w:t>
      </w:r>
    </w:p>
    <w:p>
      <w:pPr>
        <w:spacing w:after="140" w:line="276"/>
      </w:pPr>
      <w:r>
        <w:t xml:space="preserve">Gross salary is the number people quote. Take-home pay is the number the household actually lives on, and the distance between them is made up of things most employees have never examined: tax, the Medicare levy, super, salary sacrifice, novated leases, union fees, a study loan repayment. The Income &amp; tax tab builds that payslip in full, for each adult, and passes the result to the Budget tab automatically.</w:t>
      </w:r>
    </w:p>
    <w:p>
      <w:pPr>
        <w:pStyle w:val="Heading2"/>
        <w:keepNext/>
        <w:spacing w:after="120" w:before="300"/>
      </w:pPr>
      <w:r>
        <w:rPr>
          <w:rFonts w:ascii="Cambria" w:cs="Cambria" w:eastAsia="Cambria" w:hAnsi="Cambria"/>
          <w:b/>
          <w:bCs/>
          <w:color w:val="26221E"/>
          <w:sz w:val="26"/>
          <w:szCs w:val="26"/>
        </w:rPr>
        <w:t xml:space="preserve">What the tab asks for</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808"/>
        <w:gridCol w:w="6552"/>
      </w:tblGrid>
      <w:tr>
        <w:trPr>
          <w:tblHeader/>
        </w:trPr>
        <w:tc>
          <w:tcPr>
            <w:tcW w:type="dxa" w:w="2808"/>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Field</w:t>
            </w:r>
          </w:p>
        </w:tc>
        <w:tc>
          <w:tcPr>
            <w:tcW w:type="dxa" w:w="6552"/>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Why it is there</w:t>
            </w:r>
          </w:p>
        </w:tc>
      </w:tr>
      <w:tr>
        <w:tc>
          <w:tcPr>
            <w:tcW w:type="dxa" w:w="280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Full-time salary and </w:t>
            </w:r>
            <w:r>
              <w:rPr>
                <w:rFonts w:ascii="Calibri" w:cs="Calibri" w:eastAsia="Calibri" w:hAnsi="Calibri"/>
                <w:b/>
                <w:bCs/>
                <w:color w:val="26221E"/>
                <w:sz w:val="21"/>
                <w:szCs w:val="21"/>
              </w:rPr>
              <w:t xml:space="preserve">% FTE</w:t>
            </w:r>
          </w:p>
        </w:tc>
        <w:tc>
          <w:tcPr>
            <w:tcW w:type="dxa" w:w="655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Lets you model three days a week, or a return from parental leave, without recalculating anything by hand</w:t>
            </w:r>
          </w:p>
        </w:tc>
      </w:tr>
      <w:tr>
        <w:tc>
          <w:tcPr>
            <w:tcW w:type="dxa" w:w="2808"/>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Employer super %</w:t>
            </w:r>
          </w:p>
        </w:tc>
        <w:tc>
          <w:tcPr>
            <w:tcW w:type="dxa" w:w="655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super guarantee, worked out on the full salary</w:t>
            </w:r>
          </w:p>
        </w:tc>
      </w:tr>
      <w:tr>
        <w:tc>
          <w:tcPr>
            <w:tcW w:type="dxa" w:w="2808"/>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Extra super (salary sacrifice) %</w:t>
            </w:r>
          </w:p>
        </w:tc>
        <w:tc>
          <w:tcPr>
            <w:tcW w:type="dxa" w:w="655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Comes out before tax — taxed at 15% in the fund instead of your marginal rate</w:t>
            </w:r>
          </w:p>
        </w:tc>
      </w:tr>
      <w:tr>
        <w:tc>
          <w:tcPr>
            <w:tcW w:type="dxa" w:w="2808"/>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Other before-tax super</w:t>
            </w:r>
            <w:r>
              <w:rPr>
                <w:rFonts w:ascii="Calibri" w:cs="Calibri" w:eastAsia="Calibri" w:hAnsi="Calibri"/>
                <w:b w:val="false"/>
                <w:bCs w:val="false"/>
                <w:color w:val="26221E"/>
                <w:sz w:val="21"/>
                <w:szCs w:val="21"/>
              </w:rPr>
              <w:t xml:space="preserve"> ($/yr)</w:t>
            </w:r>
          </w:p>
        </w:tc>
        <w:tc>
          <w:tcPr>
            <w:tcW w:type="dxa" w:w="655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personal deductible contribution. Enter the amount before the 15% contributions tax</w:t>
            </w:r>
          </w:p>
        </w:tc>
      </w:tr>
      <w:tr>
        <w:tc>
          <w:tcPr>
            <w:tcW w:type="dxa" w:w="2808"/>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After-tax super</w:t>
            </w:r>
            <w:r>
              <w:rPr>
                <w:rFonts w:ascii="Calibri" w:cs="Calibri" w:eastAsia="Calibri" w:hAnsi="Calibri"/>
                <w:b w:val="false"/>
                <w:bCs w:val="false"/>
                <w:color w:val="26221E"/>
                <w:sz w:val="21"/>
                <w:szCs w:val="21"/>
              </w:rPr>
              <w:t xml:space="preserve"> ($/yr)</w:t>
            </w:r>
          </w:p>
        </w:tc>
        <w:tc>
          <w:tcPr>
            <w:tcW w:type="dxa" w:w="655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non-concessional contribution from money already taxed — moved from your savings, not created</w:t>
            </w:r>
          </w:p>
        </w:tc>
      </w:tr>
      <w:tr>
        <w:tc>
          <w:tcPr>
            <w:tcW w:type="dxa" w:w="2808"/>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Pre-tax deductions</w:t>
            </w:r>
          </w:p>
        </w:tc>
        <w:tc>
          <w:tcPr>
            <w:tcW w:type="dxa" w:w="655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Novated lease, salary packaging — reduce taxable income</w:t>
            </w:r>
          </w:p>
        </w:tc>
      </w:tr>
      <w:tr>
        <w:tc>
          <w:tcPr>
            <w:tcW w:type="dxa" w:w="2808"/>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Post-tax deductions</w:t>
            </w:r>
          </w:p>
        </w:tc>
        <w:tc>
          <w:tcPr>
            <w:tcW w:type="dxa" w:w="655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Union fees, social club, insurances — reduce take-home only, not tax</w:t>
            </w:r>
          </w:p>
        </w:tc>
      </w:tr>
    </w:tbl>
    <w:p>
      <w:pPr>
        <w:spacing w:after="200"/>
      </w:pPr>
    </w:p>
    <w:p>
      <w:pPr>
        <w:pStyle w:val="Heading2"/>
        <w:keepNext/>
        <w:spacing w:after="120" w:before="300"/>
      </w:pPr>
      <w:r>
        <w:rPr>
          <w:rFonts w:ascii="Cambria" w:cs="Cambria" w:eastAsia="Cambria" w:hAnsi="Cambria"/>
          <w:b/>
          <w:bCs/>
          <w:color w:val="26221E"/>
          <w:sz w:val="26"/>
          <w:szCs w:val="26"/>
        </w:rPr>
        <w:t xml:space="preserve">The tax table is visible and editable</w:t>
      </w:r>
    </w:p>
    <w:p>
      <w:pPr>
        <w:spacing w:after="140" w:line="276"/>
      </w:pPr>
      <w:r>
        <w:t xml:space="preserve">The resident tax brackets, the Medicare levy, the concessional super cap and the HELP repayment bands all sit on the tab as editable figures, defaulting to the 2026–27 rates. This is deliberate: rates change every year, and a model with the rates buried inside it quietly goes wrong. When the ATO table moves, updating this app is a two-minute job.</w:t>
      </w:r>
    </w:p>
    <w:p>
      <w:pPr>
        <w:spacing w:after="140" w:line="276"/>
      </w:pPr>
      <w:r>
        <w:t xml:space="preserve">The same principle applies on the Retirement tab, where the Age Pension rates, thresholds and minimum drawdown percentages are editable, because Services Australia reviews them in March, July and September.</w:t>
      </w:r>
    </w:p>
    <w:p>
      <w:pPr>
        <w:pStyle w:val="Heading2"/>
        <w:keepNext/>
        <w:spacing w:after="120" w:before="300"/>
      </w:pPr>
      <w:r>
        <w:rPr>
          <w:rFonts w:ascii="Cambria" w:cs="Cambria" w:eastAsia="Cambria" w:hAnsi="Cambria"/>
          <w:b/>
          <w:bCs/>
          <w:color w:val="26221E"/>
          <w:sz w:val="26"/>
          <w:szCs w:val="26"/>
        </w:rPr>
        <w:t xml:space="preserve">The single most common misconception</w:t>
      </w: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rPr>
          <w:b/>
          <w:bCs/>
        </w:rPr>
        <w:t xml:space="preserve">Salary sacrificing does not reduce your HELP repayment.</w:t>
      </w:r>
      <w:r>
        <w:t xml:space="preserve"> The repayment is worked out on </w:t>
      </w:r>
      <w:r>
        <w:rPr>
          <w:i/>
          <w:iCs/>
        </w:rPr>
        <w:t xml:space="preserve">repayment income</w:t>
      </w:r>
      <w:r>
        <w:t xml:space="preserve">, which adds salary-sacrificed super and other pre-tax deductions straight back on. Sacrificing genuinely cuts your income tax — that money is taxed at 15% in the fund instead of your marginal rate. It does not cut the HELP repayment by a cent. On a $95,000 salary, sacrificing 10% takes income tax from $19,020 to $16,170 while the HELP repayment stays at $3,820.80.</w:t>
      </w:r>
    </w:p>
    <w:p>
      <w:pPr>
        <w:pStyle w:val="Heading2"/>
        <w:keepNext/>
        <w:spacing w:after="120" w:before="300"/>
      </w:pPr>
      <w:r>
        <w:rPr>
          <w:rFonts w:ascii="Cambria" w:cs="Cambria" w:eastAsia="Cambria" w:hAnsi="Cambria"/>
          <w:b/>
          <w:bCs/>
          <w:color w:val="26221E"/>
          <w:sz w:val="26"/>
          <w:szCs w:val="26"/>
        </w:rPr>
        <w:t xml:space="preserve">Income that does not arrive on a payslip</w:t>
      </w:r>
    </w:p>
    <w:p>
      <w:pPr>
        <w:spacing w:after="140" w:line="276"/>
      </w:pPr>
      <w:r>
        <w:t xml:space="preserve">Rent from an investment property, a trust distribution, an annuity, board, child support, a small business drawing. Enter each under </w:t>
      </w:r>
      <w:r>
        <w:rPr>
          <w:b/>
          <w:bCs/>
        </w:rPr>
        <w:t xml:space="preserve">Other income</w:t>
      </w:r>
      <w:r>
        <w:t xml:space="preserve"> at the frequency it really arrives, and </w:t>
      </w:r>
      <w:r>
        <w:rPr>
          <w:i/>
          <w:iCs/>
        </w:rPr>
        <w:t xml:space="preserve">net of expenses</w:t>
      </w:r>
      <w:r>
        <w:t xml:space="preserve"> — for a rental, that is rent after rates, insurance, agent fees, repairs and interest, not the gross rent.</w:t>
      </w:r>
    </w:p>
    <w:p>
      <w:pPr>
        <w:spacing w:after="140" w:line="276"/>
      </w:pPr>
      <w:r>
        <w:t xml:space="preserve">Tick “taxable” and the amount stacks on top of that person’s salary at their marginal rate; untick it for amounts already taxed or genuinely tax-free.</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A one-off amount is not income.</w:t>
      </w:r>
      <w:r>
        <w:t xml:space="preserve"> An inheritance, a redundancy payment, the proceeds of a sale — none of these belong in the income boxes, because the app would then assume they arrive every year. Add them to the Balance sheet as cash, and then give them a job: a debt, a goal, or a planned purchase.</w:t>
      </w:r>
    </w:p>
    <w:p>
      <w:pPr>
        <w:pStyle w:val="Heading2"/>
        <w:keepNext/>
        <w:spacing w:after="120" w:before="300"/>
      </w:pPr>
      <w:r>
        <w:rPr>
          <w:rFonts w:ascii="Cambria" w:cs="Cambria" w:eastAsia="Cambria" w:hAnsi="Cambria"/>
          <w:b/>
          <w:bCs/>
          <w:color w:val="26221E"/>
          <w:sz w:val="26"/>
          <w:szCs w:val="26"/>
        </w:rPr>
        <w:t xml:space="preserve">What is not modelled</w:t>
      </w:r>
    </w:p>
    <w:p>
      <w:pPr>
        <w:spacing w:after="140" w:line="276"/>
      </w:pPr>
      <w:r>
        <w:t xml:space="preserve">Being clear about the edges is part of using any model honestly. The app does not model negative gearing, reportable fringe benefits, net investment losses, Division 293, the bring-forward rule on after-tax contributions, downsizer or spouse contributions, the government co-contribution, or private health insurance loadings and offsets beyond the low income tax offset. If your position turns on any of those, that is a conversation for a registered tax agent.</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6 · Debt: the mortgage, the card, and the study loan</w:t>
      </w:r>
    </w:p>
    <w:p>
      <w:pPr>
        <w:spacing w:after="220" w:line="290"/>
      </w:pPr>
      <w:r>
        <w:rPr>
          <w:i/>
          <w:iCs/>
          <w:color w:val="6B6258"/>
          <w:sz w:val="23"/>
          <w:szCs w:val="23"/>
        </w:rPr>
        <w:t xml:space="preserve">Not all debt behaves the same way, and the most common well-intentioned mistake in Australian households is paying down the cheap debt while carrying the expensive one.</w:t>
      </w:r>
    </w:p>
    <w:p>
      <w:pPr>
        <w:spacing w:after="140" w:line="276"/>
      </w:pPr>
      <w:r>
        <w:t xml:space="preserve">Debt is the fastest-moving lever most households have. A half per cent on a $520,000 mortgage is not a rounding error, and the difference between a card at 20.99% and a mortgage at 5.9% is roughly four times the cost per dollar owed. The Forecast tab’s payoff panel exists so that these are numbers on a screen rather than intuitions.</w:t>
      </w:r>
    </w:p>
    <w:p>
      <w:pPr>
        <w:pStyle w:val="Heading2"/>
        <w:keepNext/>
        <w:spacing w:after="120" w:before="300"/>
      </w:pPr>
      <w:r>
        <w:rPr>
          <w:rFonts w:ascii="Cambria" w:cs="Cambria" w:eastAsia="Cambria" w:hAnsi="Cambria"/>
          <w:b/>
          <w:bCs/>
          <w:color w:val="26221E"/>
          <w:sz w:val="26"/>
          <w:szCs w:val="26"/>
        </w:rPr>
        <w:t xml:space="preserve">Order of attack</w:t>
      </w:r>
    </w:p>
    <w:p>
      <w:pPr>
        <w:pStyle w:val="ListParagraph"/>
        <w:numPr>
          <w:ilvl w:val="0"/>
          <w:numId w:val="2"/>
        </w:numPr>
        <w:spacing w:after="80" w:line="270"/>
      </w:pPr>
      <w:r>
        <w:rPr>
          <w:b/>
          <w:bCs/>
        </w:rPr>
        <w:t xml:space="preserve">Build the buffer first.</w:t>
      </w:r>
      <w:r>
        <w:t xml:space="preserve"> A household with no emergency fund that puts everything into the mortgage often ends up borrowing at 20% for a car repair — undoing years of good work in an afternoon. Under three months of cover, the buffer is the first job.</w:t>
      </w:r>
    </w:p>
    <w:p>
      <w:pPr>
        <w:pStyle w:val="ListParagraph"/>
        <w:numPr>
          <w:ilvl w:val="0"/>
          <w:numId w:val="2"/>
        </w:numPr>
        <w:spacing w:after="80" w:line="270"/>
      </w:pPr>
      <w:r>
        <w:rPr>
          <w:b/>
          <w:bCs/>
        </w:rPr>
        <w:t xml:space="preserve">Then the expensive debt.</w:t>
      </w:r>
      <w:r>
        <w:t xml:space="preserve"> Cards, personal loans, buy-now-pay-later. Give each debt its own column in the year-by-year table and watch which one barely moves.</w:t>
      </w:r>
    </w:p>
    <w:p>
      <w:pPr>
        <w:pStyle w:val="ListParagraph"/>
        <w:numPr>
          <w:ilvl w:val="0"/>
          <w:numId w:val="2"/>
        </w:numPr>
        <w:spacing w:after="80" w:line="270"/>
      </w:pPr>
      <w:r>
        <w:rPr>
          <w:b/>
          <w:bCs/>
        </w:rPr>
        <w:t xml:space="preserve">Then the mortgage.</w:t>
      </w:r>
      <w:r>
        <w:t xml:space="preserve"> And here the choice between extra repayments and an offset account is genuinely open — see below.</w:t>
      </w:r>
    </w:p>
    <w:p>
      <w:pPr>
        <w:pStyle w:val="ListParagraph"/>
        <w:numPr>
          <w:ilvl w:val="0"/>
          <w:numId w:val="2"/>
        </w:numPr>
        <w:spacing w:after="80" w:line="270"/>
      </w:pPr>
      <w:r>
        <w:rPr>
          <w:b/>
          <w:bCs/>
        </w:rPr>
        <w:t xml:space="preserve">HELP last, usually.</w:t>
      </w:r>
      <w:r>
        <w:t xml:space="preserve"> At an indexation rate below your mortgage rate, money in an offset almost always does more work.</w:t>
      </w:r>
    </w:p>
    <w:p>
      <w:pPr>
        <w:spacing w:after="60"/>
      </w:pPr>
    </w:p>
    <w:p>
      <w:pPr>
        <w:pStyle w:val="Heading2"/>
        <w:keepNext/>
        <w:spacing w:after="120" w:before="300"/>
      </w:pPr>
      <w:r>
        <w:rPr>
          <w:rFonts w:ascii="Cambria" w:cs="Cambria" w:eastAsia="Cambria" w:hAnsi="Cambria"/>
          <w:b/>
          <w:bCs/>
          <w:color w:val="26221E"/>
          <w:sz w:val="26"/>
          <w:szCs w:val="26"/>
        </w:rPr>
        <w:t xml:space="preserve">Five things that work on a mortgage</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059"/>
        <w:gridCol w:w="3744"/>
        <w:gridCol w:w="3557"/>
      </w:tblGrid>
      <w:tr>
        <w:trPr>
          <w:tblHeader/>
        </w:trPr>
        <w:tc>
          <w:tcPr>
            <w:tcW w:type="dxa" w:w="2059"/>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Move</w:t>
            </w:r>
          </w:p>
        </w:tc>
        <w:tc>
          <w:tcPr>
            <w:tcW w:type="dxa" w:w="3744"/>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Why it works</w:t>
            </w:r>
          </w:p>
        </w:tc>
        <w:tc>
          <w:tcPr>
            <w:tcW w:type="dxa" w:w="3557"/>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The caveat</w:t>
            </w:r>
          </w:p>
        </w:tc>
      </w:tr>
      <w:tr>
        <w:tc>
          <w:tcPr>
            <w:tcW w:type="dxa" w:w="2059"/>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Round the repayment up</w:t>
            </w:r>
          </w:p>
        </w:tc>
        <w:tc>
          <w:tcPr>
            <w:tcW w:type="dxa" w:w="3744"/>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$3,521 rounded to $3,700 is barely felt and lands entirely on principal</w:t>
            </w:r>
          </w:p>
        </w:tc>
        <w:tc>
          <w:tcPr>
            <w:tcW w:type="dxa" w:w="3557"/>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Only from a genuine surplus. Funding it from a card at 20% to save 5.9% is going backwards with excellent intentions</w:t>
            </w:r>
          </w:p>
        </w:tc>
      </w:tr>
      <w:tr>
        <w:tc>
          <w:tcPr>
            <w:tcW w:type="dxa" w:w="2059"/>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Pay fortnightly, not monthly</w:t>
            </w:r>
          </w:p>
        </w:tc>
        <w:tc>
          <w:tcPr>
            <w:tcW w:type="dxa" w:w="3744"/>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Twenty-six half-payments is thirteen monthly payments a year, not twelve</w:t>
            </w:r>
          </w:p>
        </w:tc>
        <w:tc>
          <w:tcPr>
            <w:tcW w:type="dxa" w:w="3557"/>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Check the lender credits it that way — some hold fortnightly payments and apply them monthly, removing the effect entirely</w:t>
            </w:r>
          </w:p>
        </w:tc>
      </w:tr>
      <w:tr>
        <w:tc>
          <w:tcPr>
            <w:tcW w:type="dxa" w:w="2059"/>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Use an offset account</w:t>
            </w:r>
          </w:p>
        </w:tc>
        <w:tc>
          <w:tcPr>
            <w:tcW w:type="dxa" w:w="3744"/>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Reduces interest exactly as an extra repayment does, but the money stays available</w:t>
            </w:r>
          </w:p>
        </w:tc>
        <w:tc>
          <w:tcPr>
            <w:tcW w:type="dxa" w:w="3557"/>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Sometimes a higher rate or an account fee. Compare the rate difference against the balance you would realistically keep in it</w:t>
            </w:r>
          </w:p>
        </w:tc>
      </w:tr>
      <w:tr>
        <w:tc>
          <w:tcPr>
            <w:tcW w:type="dxa" w:w="2059"/>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Ring and ask for a better rate</w:t>
            </w:r>
          </w:p>
        </w:tc>
        <w:tc>
          <w:tcPr>
            <w:tcW w:type="dxa" w:w="3744"/>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Keeping a borrower is cheaper than finding one, so it often works</w:t>
            </w:r>
          </w:p>
        </w:tc>
        <w:tc>
          <w:tcPr>
            <w:tcW w:type="dxa" w:w="3557"/>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Refinancing has real costs and takes weeks. Make the phone call first</w:t>
            </w:r>
          </w:p>
        </w:tc>
      </w:tr>
      <w:tr>
        <w:tc>
          <w:tcPr>
            <w:tcW w:type="dxa" w:w="2059"/>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Redirect the pay rise before you feel it</w:t>
            </w:r>
          </w:p>
        </w:tc>
        <w:tc>
          <w:tcPr>
            <w:tcW w:type="dxa" w:w="3744"/>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repayment raised the month a rise lands is never missed</w:t>
            </w:r>
          </w:p>
        </w:tc>
        <w:tc>
          <w:tcPr>
            <w:tcW w:type="dxa" w:w="3557"/>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same increase attempted a year later feels like a cut — see Section 11</w:t>
            </w:r>
          </w:p>
        </w:tc>
      </w:tr>
    </w:tbl>
    <w:p>
      <w:pPr>
        <w:spacing w:after="200"/>
      </w:pPr>
    </w:p>
    <w:p>
      <w:pPr>
        <w:pStyle w:val="Heading2"/>
        <w:keepNext/>
        <w:spacing w:after="120" w:before="300"/>
      </w:pPr>
      <w:r>
        <w:rPr>
          <w:rFonts w:ascii="Cambria" w:cs="Cambria" w:eastAsia="Cambria" w:hAnsi="Cambria"/>
          <w:b/>
          <w:bCs/>
          <w:color w:val="26221E"/>
          <w:sz w:val="26"/>
          <w:szCs w:val="26"/>
        </w:rPr>
        <w:t xml:space="preserve">Decide now where the repayment goes when the loan ends</w:t>
      </w:r>
    </w:p>
    <w:p>
      <w:pPr>
        <w:spacing w:after="140" w:line="276"/>
      </w:pPr>
      <w:r>
        <w:t xml:space="preserve">A cleared loan frees a large monthly amount that has been invisible for years. In the forecast, freed repayments appear in the surplus in the payoff year — and households that have decided in advance keep that money, while households that have not absorb it within about two months. Give it a job before it arrives.</w:t>
      </w:r>
    </w:p>
    <w:p>
      <w:pPr>
        <w:pStyle w:val="Heading2"/>
        <w:keepNext/>
        <w:spacing w:after="120" w:before="300"/>
      </w:pPr>
      <w:r>
        <w:rPr>
          <w:rFonts w:ascii="Cambria" w:cs="Cambria" w:eastAsia="Cambria" w:hAnsi="Cambria"/>
          <w:b/>
          <w:bCs/>
          <w:color w:val="26221E"/>
          <w:sz w:val="26"/>
          <w:szCs w:val="26"/>
        </w:rPr>
        <w:t xml:space="preserve">Should I pay the study loan off early?</w:t>
      </w:r>
    </w:p>
    <w:p>
      <w:pPr>
        <w:spacing w:after="140" w:line="276"/>
      </w:pPr>
      <w:r>
        <w:t xml:space="preserve">Usually not, and the reason people give is usually the wrong one. The strongest argument for clearing it is timing rather than rate: pay the balance off before you lodge and no compulsory repayment is raised for that year at all. Second, a voluntary payment made before 1 June reduces the balance that indexation applies to. But none of that changes the basic comparison — indexation rate against mortgage rate. The gap is the answer.</w:t>
      </w:r>
    </w:p>
    <w:p>
      <w:pPr>
        <w:spacing w:after="200" w:before="60" w:line="260"/>
      </w:pPr>
      <w:r>
        <w:rPr>
          <w:i/>
          <w:iCs/>
          <w:color w:val="6B6258"/>
          <w:sz w:val="19"/>
          <w:szCs w:val="19"/>
        </w:rPr>
        <w:t xml:space="preserve">None of this makes a HELP debt free. It still reduces your borrowing capacity when a lender assesses you, and the balance still rises with indexation while your income is under the threshold.</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7 · Scams and fraud</w:t>
      </w:r>
    </w:p>
    <w:p>
      <w:pPr>
        <w:spacing w:after="220" w:line="290"/>
      </w:pPr>
      <w:r>
        <w:rPr>
          <w:i/>
          <w:iCs/>
          <w:color w:val="6B6258"/>
          <w:sz w:val="23"/>
          <w:szCs w:val="23"/>
        </w:rPr>
        <w:t xml:space="preserve">Most scam advice is a list of things to watch for. That puts the whole load on you noticing something in the exact moment a stranger is working hard to stop you thinking clearly — and it dates quickly, because the stories change every few months.</w:t>
      </w:r>
    </w:p>
    <w:p>
      <w:pPr>
        <w:spacing w:after="140" w:line="276"/>
      </w:pPr>
      <w:r>
        <w:t xml:space="preserve">So this section runs backwards, in the order that actually protects a household: set up the defences that keep working on a bad day, learn the pattern underneath every version, and know the procedure if something got through. The full treatment is in the companion guide </w:t>
      </w:r>
      <w:r>
        <w:rPr>
          <w:i/>
          <w:iCs/>
        </w:rPr>
        <w:t xml:space="preserve">Scams and Fraud: A Household Guide</w:t>
      </w:r>
      <w:r>
        <w:t xml:space="preserve">; what follows is the working core of it.</w:t>
      </w: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rPr>
          <w:b/>
          <w:bCs/>
        </w:rPr>
        <w:t xml:space="preserve">A note on blame.</w:t>
      </w:r>
      <w:r>
        <w:t xml:space="preserve"> Being deceived is not a failure of intelligence. These are organised operations with scripts, training and a professional understanding of how people behave under pressure. The households most at risk are the ones certain it could never happen to them.</w:t>
      </w:r>
    </w:p>
    <w:p>
      <w:pPr>
        <w:pStyle w:val="Heading2"/>
        <w:keepNext/>
        <w:spacing w:after="120" w:before="300"/>
      </w:pPr>
      <w:r>
        <w:rPr>
          <w:rFonts w:ascii="Cambria" w:cs="Cambria" w:eastAsia="Cambria" w:hAnsi="Cambria"/>
          <w:b/>
          <w:bCs/>
          <w:color w:val="26221E"/>
          <w:sz w:val="26"/>
          <w:szCs w:val="26"/>
        </w:rPr>
        <w:t xml:space="preserve">Part One — Set up your defences</w:t>
      </w:r>
    </w:p>
    <w:p>
      <w:pPr>
        <w:spacing w:after="140" w:line="276"/>
      </w:pPr>
      <w:r>
        <w:t xml:space="preserve">Half an hour of admin now does more than any amount of vigilance later, because vigilance is precisely the thing that fails when you are tired, distracted or genuinely fooled.</w:t>
      </w:r>
    </w:p>
    <w:p>
      <w:pPr>
        <w:pStyle w:val="Heading3"/>
        <w:keepNext/>
        <w:spacing w:after="90" w:before="220"/>
      </w:pPr>
      <w:r>
        <w:rPr>
          <w:rFonts w:ascii="Calibri" w:cs="Calibri" w:eastAsia="Calibri" w:hAnsi="Calibri"/>
          <w:b/>
          <w:bCs/>
          <w:color w:val="41607C"/>
          <w:sz w:val="21"/>
          <w:szCs w:val="21"/>
        </w:rPr>
        <w:t xml:space="preserve">Lock down your email first</w:t>
      </w:r>
    </w:p>
    <w:p>
      <w:pPr>
        <w:spacing w:after="140" w:line="276"/>
      </w:pPr>
      <w:r>
        <w:t xml:space="preserve">Your email account is the master key. Anyone who controls it can reset the password on almost everything else you own, including your banking. Give it a password you use nowhere else, and switch on two-factor authentication. Do this before anything else on the list.</w:t>
      </w:r>
    </w:p>
    <w:p>
      <w:pPr>
        <w:pStyle w:val="Heading3"/>
        <w:keepNext/>
        <w:spacing w:after="90" w:before="220"/>
      </w:pPr>
      <w:r>
        <w:rPr>
          <w:rFonts w:ascii="Calibri" w:cs="Calibri" w:eastAsia="Calibri" w:hAnsi="Calibri"/>
          <w:b/>
          <w:bCs/>
          <w:color w:val="41607C"/>
          <w:sz w:val="21"/>
          <w:szCs w:val="21"/>
        </w:rPr>
        <w:t xml:space="preserve">Make your accounts harder to drain</w:t>
      </w:r>
    </w:p>
    <w:p>
      <w:pPr>
        <w:spacing w:after="140" w:line="276"/>
      </w:pPr>
      <w:r>
        <w:t xml:space="preserve">Ring your bank on the number printed on your card and ask for each of these. None of them costs anything.</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3557"/>
        <w:gridCol w:w="5803"/>
      </w:tblGrid>
      <w:tr>
        <w:trPr>
          <w:tblHeader/>
        </w:trPr>
        <w:tc>
          <w:tcPr>
            <w:tcW w:type="dxa" w:w="3557"/>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Ask your bank for</w:t>
            </w:r>
          </w:p>
        </w:tc>
        <w:tc>
          <w:tcPr>
            <w:tcW w:type="dxa" w:w="5803"/>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Why it matters</w:t>
            </w:r>
          </w:p>
        </w:tc>
      </w:tr>
      <w:tr>
        <w:tc>
          <w:tcPr>
            <w:tcW w:type="dxa" w:w="3557"/>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Alerts on every transaction, not just large ones</w:t>
            </w:r>
          </w:p>
        </w:tc>
        <w:tc>
          <w:tcPr>
            <w:tcW w:type="dxa" w:w="580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You find out in seconds rather than at the next statement</w:t>
            </w:r>
          </w:p>
        </w:tc>
      </w:tr>
      <w:tr>
        <w:tc>
          <w:tcPr>
            <w:tcW w:type="dxa" w:w="3557"/>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lower daily transfer limit than the default</w:t>
            </w:r>
          </w:p>
        </w:tc>
        <w:tc>
          <w:tcPr>
            <w:tcW w:type="dxa" w:w="580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Defaults are often far higher than a household ever needs</w:t>
            </w:r>
          </w:p>
        </w:tc>
      </w:tr>
      <w:tr>
        <w:tc>
          <w:tcPr>
            <w:tcW w:type="dxa" w:w="3557"/>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hold or extra check on payments to new payees</w:t>
            </w:r>
          </w:p>
        </w:tc>
        <w:tc>
          <w:tcPr>
            <w:tcW w:type="dxa" w:w="580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Buys back the minutes a scammer is trying to take from you</w:t>
            </w:r>
          </w:p>
        </w:tc>
      </w:tr>
      <w:tr>
        <w:tc>
          <w:tcPr>
            <w:tcW w:type="dxa" w:w="355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 credit card for online purchases, not the debit card</w:t>
            </w:r>
          </w:p>
        </w:tc>
        <w:tc>
          <w:tcPr>
            <w:tcW w:type="dxa" w:w="580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Credit card money is the bank’s until you pay the bill, which makes a dispute far easier</w:t>
            </w:r>
          </w:p>
        </w:tc>
      </w:tr>
    </w:tbl>
    <w:p>
      <w:pPr>
        <w:spacing w:after="200"/>
      </w:pPr>
    </w:p>
    <w:p>
      <w:pPr>
        <w:pStyle w:val="Heading3"/>
        <w:keepNext/>
        <w:spacing w:after="90" w:before="220"/>
      </w:pPr>
      <w:r>
        <w:rPr>
          <w:rFonts w:ascii="Calibri" w:cs="Calibri" w:eastAsia="Calibri" w:hAnsi="Calibri"/>
          <w:b/>
          <w:bCs/>
          <w:color w:val="41607C"/>
          <w:sz w:val="21"/>
          <w:szCs w:val="21"/>
        </w:rPr>
        <w:t xml:space="preserve">Put a ban on your credit file</w:t>
      </w:r>
    </w:p>
    <w:p>
      <w:pPr>
        <w:spacing w:after="140" w:line="276"/>
      </w:pPr>
      <w:r>
        <w:t xml:space="preserve">A credit ban stops lenders looking at your credit report, so nobody can open an account in your name. It is free and does not affect the cards and loans you already hold. Request it through one bureau — Equifax at equifax.com.au, or Experian at experian.com.au, which also handles illion — and ask them to pass it on.</w:t>
      </w: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rPr>
          <w:b/>
          <w:bCs/>
        </w:rPr>
        <w:t xml:space="preserve">This is the one item that is not a one-off job.</w:t>
      </w:r>
      <w:r>
        <w:t xml:space="preserve"> A credit ban runs 21 days from the request. The credit reporting body must tell you at least five business days before it ends, and if you do nothing it lifts by itself. An extension — usually up to twelve months — has to be asked for. So write the date in, not just a tick, and diary the extension before the twenty-one days are up. The app does this arithmetic for you and says so when the ban has lapsed.</w:t>
      </w:r>
    </w:p>
    <w:p>
      <w:pPr>
        <w:pStyle w:val="Heading3"/>
        <w:keepNext/>
        <w:spacing w:after="90" w:before="220"/>
      </w:pPr>
      <w:r>
        <w:rPr>
          <w:rFonts w:ascii="Calibri" w:cs="Calibri" w:eastAsia="Calibri" w:hAnsi="Calibri"/>
          <w:b/>
          <w:bCs/>
          <w:color w:val="41607C"/>
          <w:sz w:val="21"/>
          <w:szCs w:val="21"/>
        </w:rPr>
        <w:t xml:space="preserve">Agree on a family verification question</w:t>
      </w:r>
    </w:p>
    <w:p>
      <w:pPr>
        <w:spacing w:after="140" w:line="276"/>
      </w:pPr>
      <w:r>
        <w:t xml:space="preserve">Voice cloning is cheap and quick; a few seconds of someone speaking in a video online is enough raw material to fake a distressed phone call. Decide as a household on one question a caller must answer before anyone sends money in an emergency, with an answer written down nowhere online.</w:t>
      </w:r>
    </w:p>
    <w:p>
      <w:pPr>
        <w:spacing w:after="140" w:line="276"/>
      </w:pPr>
      <w:r>
        <w:t xml:space="preserve">Two honest caveats, because the idea is often oversold. Under real stress, people forget the arrangement — treat it as a backup, not a firewall. And a convincing caller will say they are too panicked to remember; that refusal is itself the answer.</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The rule underneath it:</w:t>
      </w:r>
      <w:r>
        <w:t xml:space="preserve"> hang up and ring the person back on the number already in your phone. If the story is true you will reach them, or somebody who knows where they are. If it is not, you have lost nothing at all.</w:t>
      </w:r>
    </w:p>
    <w:p>
      <w:pPr>
        <w:pStyle w:val="Heading2"/>
        <w:keepNext/>
        <w:spacing w:after="120" w:before="300"/>
      </w:pPr>
      <w:r>
        <w:rPr>
          <w:rFonts w:ascii="Cambria" w:cs="Cambria" w:eastAsia="Cambria" w:hAnsi="Cambria"/>
          <w:b/>
          <w:bCs/>
          <w:color w:val="26221E"/>
          <w:sz w:val="26"/>
          <w:szCs w:val="26"/>
        </w:rPr>
        <w:t xml:space="preserve">Part Two — The pattern underneath every scam</w:t>
      </w:r>
    </w:p>
    <w:p>
      <w:pPr>
        <w:spacing w:after="140" w:line="276"/>
      </w:pPr>
      <w:r>
        <w:t xml:space="preserve">Named scams change constantly. The mechanics do not. Look for these six things and you will catch versions nobody has warned you about yet.</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3182"/>
        <w:gridCol w:w="6178"/>
      </w:tblGrid>
      <w:tr>
        <w:trPr>
          <w:tblHeader/>
        </w:trPr>
        <w:tc>
          <w:tcPr>
            <w:tcW w:type="dxa" w:w="3182"/>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Signal</w:t>
            </w:r>
          </w:p>
        </w:tc>
        <w:tc>
          <w:tcPr>
            <w:tcW w:type="dxa" w:w="6178"/>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it sounds like</w:t>
            </w:r>
          </w:p>
        </w:tc>
      </w:tr>
      <w:tr>
        <w:tc>
          <w:tcPr>
            <w:tcW w:type="dxa" w:w="3182"/>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① You did not start the contact</w:t>
            </w:r>
          </w:p>
        </w:tc>
        <w:tc>
          <w:tcPr>
            <w:tcW w:type="dxa" w:w="617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call, text, email or friend request arrived at you</w:t>
            </w:r>
          </w:p>
        </w:tc>
      </w:tr>
      <w:tr>
        <w:tc>
          <w:tcPr>
            <w:tcW w:type="dxa" w:w="3182"/>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② Manufactured urgency</w:t>
            </w:r>
          </w:p>
        </w:tc>
        <w:tc>
          <w:tcPr>
            <w:tcW w:type="dxa" w:w="6178"/>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deadline measured in minutes or hours</w:t>
            </w:r>
          </w:p>
        </w:tc>
      </w:tr>
      <w:tr>
        <w:tc>
          <w:tcPr>
            <w:tcW w:type="dxa" w:w="3182"/>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③ Pressure to stay quiet</w:t>
            </w:r>
          </w:p>
        </w:tc>
        <w:tc>
          <w:tcPr>
            <w:tcW w:type="dxa" w:w="617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“Don’t discuss this with anyone”, “this is confidential”</w:t>
            </w:r>
          </w:p>
        </w:tc>
      </w:tr>
      <w:tr>
        <w:tc>
          <w:tcPr>
            <w:tcW w:type="dxa" w:w="3182"/>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④ Payment that cannot be recalled</w:t>
            </w:r>
          </w:p>
        </w:tc>
        <w:tc>
          <w:tcPr>
            <w:tcW w:type="dxa" w:w="6178"/>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Gift cards, crypto, wire transfers, a bank account you have never paid before</w:t>
            </w:r>
          </w:p>
        </w:tc>
      </w:tr>
      <w:tr>
        <w:tc>
          <w:tcPr>
            <w:tcW w:type="dxa" w:w="3182"/>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⑤ A code or an install</w:t>
            </w:r>
          </w:p>
        </w:tc>
        <w:tc>
          <w:tcPr>
            <w:tcW w:type="dxa" w:w="617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They want a verification code read out, or software put on your device</w:t>
            </w:r>
          </w:p>
        </w:tc>
      </w:tr>
      <w:tr>
        <w:tc>
          <w:tcPr>
            <w:tcW w:type="dxa" w:w="3182"/>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⑥ Returns without risk</w:t>
            </w:r>
          </w:p>
        </w:tc>
        <w:tc>
          <w:tcPr>
            <w:tcW w:type="dxa" w:w="6178"/>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Guaranteed profits, prizes you never entered for, work with no interview</w:t>
            </w:r>
          </w:p>
        </w:tc>
      </w:tr>
    </w:tbl>
    <w:p>
      <w:pPr>
        <w:spacing w:after="200"/>
      </w:pP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rPr>
          <w:b/>
          <w:bCs/>
        </w:rPr>
        <w:t xml:space="preserve">One of these means slow down. Two means stop.</w:t>
      </w:r>
    </w:p>
    <w:p>
      <w:pPr>
        <w:pStyle w:val="Heading3"/>
        <w:keepNext/>
        <w:spacing w:after="90" w:before="220"/>
      </w:pPr>
      <w:r>
        <w:rPr>
          <w:rFonts w:ascii="Calibri" w:cs="Calibri" w:eastAsia="Calibri" w:hAnsi="Calibri"/>
          <w:b/>
          <w:bCs/>
          <w:color w:val="41607C"/>
          <w:sz w:val="21"/>
          <w:szCs w:val="21"/>
        </w:rPr>
        <w:t xml:space="preserve">On the phone</w:t>
      </w:r>
    </w:p>
    <w:p>
      <w:pPr>
        <w:spacing w:after="140" w:line="276"/>
      </w:pPr>
      <w:r>
        <w:t xml:space="preserve">Someone claiming to be from your bank’s fraud team says your account is compromised and the money must be moved somewhere safe. No bank will ever ask you to do this. The safe account belongs to the criminal. Caller ID can be faked, so your bank’s name on the screen proves nothing. The same script runs with the tax office, a government department or the police — real agencies write to you, and none of them take payment in gift cards.</w:t>
      </w:r>
    </w:p>
    <w:p>
      <w:pPr>
        <w:pStyle w:val="Heading3"/>
        <w:keepNext/>
        <w:spacing w:after="90" w:before="220"/>
      </w:pPr>
      <w:r>
        <w:rPr>
          <w:rFonts w:ascii="Calibri" w:cs="Calibri" w:eastAsia="Calibri" w:hAnsi="Calibri"/>
          <w:b/>
          <w:bCs/>
          <w:color w:val="41607C"/>
          <w:sz w:val="21"/>
          <w:szCs w:val="21"/>
        </w:rPr>
        <w:t xml:space="preserve">By text, email or message</w:t>
      </w:r>
    </w:p>
    <w:p>
      <w:pPr>
        <w:spacing w:after="140" w:line="276"/>
      </w:pPr>
      <w:r>
        <w:t xml:space="preserve">Parcel delivery problems, unpaid tolls, overdue bills, accounts about to be suspended. The message always carries a link and the link always leads to a convincing copy of a login page. Do not tap links in messages you were not expecting — open the app, or type the address yourself.</w:t>
      </w:r>
    </w:p>
    <w:p>
      <w:pPr>
        <w:spacing w:after="140" w:line="276"/>
      </w:pPr>
      <w:r>
        <w:t xml:space="preserve">Two catch careful people in particular. </w:t>
      </w:r>
      <w:r>
        <w:rPr>
          <w:b/>
          <w:bCs/>
        </w:rPr>
        <w:t xml:space="preserve">Verification codes:</w:t>
      </w:r>
      <w:r>
        <w:t xml:space="preserve"> anyone asking you to read out a code that was just texted to you is taking over an account. There is no legitimate version of that request, ever. </w:t>
      </w:r>
      <w:r>
        <w:rPr>
          <w:b/>
          <w:bCs/>
        </w:rPr>
        <w:t xml:space="preserve">Changed payment details:</w:t>
      </w:r>
      <w:r>
        <w:t xml:space="preserve"> an invoice from a business you genuinely deal with, carrying new bank details — ring them on a number you had </w:t>
      </w:r>
      <w:r>
        <w:rPr>
          <w:i/>
          <w:iCs/>
        </w:rPr>
        <w:t xml:space="preserve">before</w:t>
      </w:r>
      <w:r>
        <w:t xml:space="preserve"> the invoice arrived. This one costs tradespeople, small businesses and households buying a home enormous sums.</w:t>
      </w:r>
    </w:p>
    <w:p>
      <w:pPr>
        <w:pStyle w:val="Heading3"/>
        <w:keepNext/>
        <w:spacing w:after="90" w:before="220"/>
      </w:pPr>
      <w:r>
        <w:rPr>
          <w:rFonts w:ascii="Calibri" w:cs="Calibri" w:eastAsia="Calibri" w:hAnsi="Calibri"/>
          <w:b/>
          <w:bCs/>
          <w:color w:val="41607C"/>
          <w:sz w:val="21"/>
          <w:szCs w:val="21"/>
        </w:rPr>
        <w:t xml:space="preserve">On your screen</w:t>
      </w:r>
    </w:p>
    <w:p>
      <w:pPr>
        <w:spacing w:after="140" w:line="276"/>
      </w:pPr>
      <w:r>
        <w:t xml:space="preserve">Alarming pop-ups warn of a virus, usually with a phone number and often hard to close. The number reaches someone who asks to connect to your computer using remote-access software. Once in, they can see your banking and move money while you watch. Microsoft, Apple and your internet provider will not ring you about a problem on your computer.</w:t>
      </w:r>
    </w:p>
    <w:p>
      <w:pPr>
        <w:pStyle w:val="Heading3"/>
        <w:keepNext/>
        <w:spacing w:after="90" w:before="220"/>
      </w:pPr>
      <w:r>
        <w:rPr>
          <w:rFonts w:ascii="Calibri" w:cs="Calibri" w:eastAsia="Calibri" w:hAnsi="Calibri"/>
          <w:b/>
          <w:bCs/>
          <w:color w:val="41607C"/>
          <w:sz w:val="21"/>
          <w:szCs w:val="21"/>
        </w:rPr>
        <w:t xml:space="preserve">Through a relationship</w:t>
      </w:r>
    </w:p>
    <w:p>
      <w:pPr>
        <w:spacing w:after="140" w:line="276"/>
      </w:pPr>
      <w:r>
        <w:t xml:space="preserve">Warm, attentive, consistent, and always unable to meet in person or appear on video. The current version blends romance with investing: after weeks of friendship they mention a trading or crypto platform, the balance on the site climbs beautifully, small withdrawals work at first, and then they stop. The length of the build-up is the method, not evidence against it.</w:t>
      </w:r>
    </w:p>
    <w:p>
      <w:pPr>
        <w:pStyle w:val="Heading3"/>
        <w:keepNext/>
        <w:spacing w:after="90" w:before="220"/>
      </w:pPr>
      <w:r>
        <w:rPr>
          <w:rFonts w:ascii="Calibri" w:cs="Calibri" w:eastAsia="Calibri" w:hAnsi="Calibri"/>
          <w:b/>
          <w:bCs/>
          <w:color w:val="41607C"/>
          <w:sz w:val="21"/>
          <w:szCs w:val="21"/>
        </w:rPr>
        <w:t xml:space="preserve">Through money and work</w:t>
      </w:r>
    </w:p>
    <w:p>
      <w:pPr>
        <w:pStyle w:val="ListParagraph"/>
        <w:numPr>
          <w:ilvl w:val="0"/>
          <w:numId w:val="3"/>
        </w:numPr>
        <w:spacing w:after="80" w:line="270"/>
      </w:pPr>
      <w:r>
        <w:rPr>
          <w:b/>
          <w:bCs/>
        </w:rPr>
        <w:t xml:space="preserve">Job and task offers</w:t>
      </w:r>
      <w:r>
        <w:t xml:space="preserve"> that arrive unsolicited, pay well for simple repetitive work, then ask you to deposit your own funds to unlock earnings.</w:t>
      </w:r>
    </w:p>
    <w:p>
      <w:pPr>
        <w:pStyle w:val="ListParagraph"/>
        <w:numPr>
          <w:ilvl w:val="0"/>
          <w:numId w:val="3"/>
        </w:numPr>
        <w:spacing w:after="80" w:line="270"/>
      </w:pPr>
      <w:r>
        <w:rPr>
          <w:b/>
          <w:bCs/>
        </w:rPr>
        <w:t xml:space="preserve">Marketplace buyers</w:t>
      </w:r>
      <w:r>
        <w:t xml:space="preserve"> who overpay, send a “seller verification” link, or want to move the payment off the platform.</w:t>
      </w:r>
    </w:p>
    <w:p>
      <w:pPr>
        <w:pStyle w:val="ListParagraph"/>
        <w:numPr>
          <w:ilvl w:val="0"/>
          <w:numId w:val="3"/>
        </w:numPr>
        <w:spacing w:after="80" w:line="270"/>
      </w:pPr>
      <w:r>
        <w:rPr>
          <w:b/>
          <w:bCs/>
        </w:rPr>
        <w:t xml:space="preserve">Online shops</w:t>
      </w:r>
      <w:r>
        <w:t xml:space="preserve"> with prices well below everyone else’s, advertised through social media, that take payment and never ship.</w:t>
      </w:r>
    </w:p>
    <w:p>
      <w:pPr>
        <w:pStyle w:val="ListParagraph"/>
        <w:numPr>
          <w:ilvl w:val="0"/>
          <w:numId w:val="3"/>
        </w:numPr>
        <w:spacing w:after="80" w:line="270"/>
      </w:pPr>
      <w:r>
        <w:rPr>
          <w:b/>
          <w:bCs/>
        </w:rPr>
        <w:t xml:space="preserve">Recovery offers</w:t>
      </w:r>
      <w:r>
        <w:t xml:space="preserve"> — someone contacts a victim promising to retrieve the money for an upfront fee. People who have already lost money are the most heavily targeted group there is.</w:t>
      </w:r>
    </w:p>
    <w:p>
      <w:pPr>
        <w:spacing w:after="60"/>
      </w:pPr>
    </w:p>
    <w:p>
      <w:pPr>
        <w:pStyle w:val="Heading3"/>
        <w:keepNext/>
        <w:spacing w:after="90" w:before="220"/>
      </w:pPr>
      <w:r>
        <w:rPr>
          <w:rFonts w:ascii="Calibri" w:cs="Calibri" w:eastAsia="Calibri" w:hAnsi="Calibri"/>
          <w:b/>
          <w:bCs/>
          <w:color w:val="41607C"/>
          <w:sz w:val="21"/>
          <w:szCs w:val="21"/>
        </w:rPr>
        <w:t xml:space="preserve">Sentences worth having ready</w:t>
      </w:r>
    </w:p>
    <w:p>
      <w:pPr>
        <w:spacing w:after="140" w:line="276"/>
      </w:pPr>
      <w:r>
        <w:t xml:space="preserve">You owe a stranger nothing and you do not need to explain yourself. Short works better than reasoned, because there is nothing in it to argue with. </w:t>
      </w:r>
      <w:r>
        <w:rPr>
          <w:i/>
          <w:iCs/>
        </w:rPr>
        <w:t xml:space="preserve">“I don’t take financial calls — I’ll ring the number on my card.” “I don’t give codes to anyone. Goodbye.” “I don’t send money to people I haven’t met.” “I need to check with my family first.”</w:t>
      </w:r>
      <w:r>
        <w:t xml:space="preserve"> Then hang up. Say them out loud once — a sentence you have never spoken is not available to you at nine at night when someone is shouting.</w:t>
      </w:r>
    </w:p>
    <w:p>
      <w:pPr>
        <w:pStyle w:val="Heading2"/>
        <w:keepNext/>
        <w:spacing w:after="120" w:before="300"/>
      </w:pPr>
      <w:r>
        <w:rPr>
          <w:rFonts w:ascii="Cambria" w:cs="Cambria" w:eastAsia="Cambria" w:hAnsi="Cambria"/>
          <w:b/>
          <w:bCs/>
          <w:color w:val="26221E"/>
          <w:sz w:val="26"/>
          <w:szCs w:val="26"/>
        </w:rPr>
        <w:t xml:space="preserve">Part Three — If something got through</w:t>
      </w:r>
    </w:p>
    <w:p>
      <w:pPr>
        <w:spacing w:after="140" w:line="276"/>
      </w:pPr>
      <w:r>
        <w:t xml:space="preserve">Speed matters more than anything else here, and more than getting the order exactly right.</w:t>
      </w:r>
    </w:p>
    <w:p>
      <w:pPr>
        <w:pStyle w:val="Heading3"/>
        <w:keepNext/>
        <w:spacing w:after="90" w:before="220"/>
      </w:pPr>
      <w:r>
        <w:rPr>
          <w:rFonts w:ascii="Calibri" w:cs="Calibri" w:eastAsia="Calibri" w:hAnsi="Calibri"/>
          <w:b/>
          <w:bCs/>
          <w:color w:val="41607C"/>
          <w:sz w:val="21"/>
          <w:szCs w:val="21"/>
        </w:rPr>
        <w:t xml:space="preserve">Within the hour</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655"/>
        <w:gridCol w:w="8705"/>
      </w:tblGrid>
      <w:tr>
        <w:trPr>
          <w:tblHeader/>
        </w:trPr>
        <w:tc>
          <w:tcPr>
            <w:tcW w:type="dxa" w:w="655"/>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t>
            </w:r>
          </w:p>
        </w:tc>
        <w:tc>
          <w:tcPr>
            <w:tcW w:type="dxa" w:w="8705"/>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Do this now</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Ring your bank</w:t>
            </w:r>
            <w:r>
              <w:rPr>
                <w:rFonts w:ascii="Calibri" w:cs="Calibri" w:eastAsia="Calibri" w:hAnsi="Calibri"/>
                <w:b w:val="false"/>
                <w:bCs w:val="false"/>
                <w:color w:val="26221E"/>
                <w:sz w:val="21"/>
                <w:szCs w:val="21"/>
              </w:rPr>
              <w:t xml:space="preserve"> on the number on your card. Ask them to stop or recall the payment and freeze the account. Some transfers can still be caught</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Change your email password</w:t>
            </w:r>
            <w:r>
              <w:rPr>
                <w:rFonts w:ascii="Calibri" w:cs="Calibri" w:eastAsia="Calibri" w:hAnsi="Calibri"/>
                <w:b w:val="false"/>
                <w:bCs w:val="false"/>
                <w:color w:val="26221E"/>
                <w:sz w:val="21"/>
                <w:szCs w:val="21"/>
              </w:rPr>
              <w:t xml:space="preserve">, then your banking password. Email first — it is the account that controls the others</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If anyone connected to your device</w:t>
            </w:r>
            <w:r>
              <w:rPr>
                <w:rFonts w:ascii="Calibri" w:cs="Calibri" w:eastAsia="Calibri" w:hAnsi="Calibri"/>
                <w:b w:val="false"/>
                <w:bCs w:val="false"/>
                <w:color w:val="26221E"/>
                <w:sz w:val="21"/>
                <w:szCs w:val="21"/>
              </w:rPr>
              <w:t xml:space="preserve">, disconnect it from the internet, uninstall the remote-access software and run a security scan. Assume anything typed while they watched is known to them</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If you paid by gift card</w:t>
            </w:r>
            <w:r>
              <w:rPr>
                <w:rFonts w:ascii="Calibri" w:cs="Calibri" w:eastAsia="Calibri" w:hAnsi="Calibri"/>
                <w:b w:val="false"/>
                <w:bCs w:val="false"/>
                <w:color w:val="26221E"/>
                <w:sz w:val="21"/>
                <w:szCs w:val="21"/>
              </w:rPr>
              <w:t xml:space="preserve">, ring the card issuer with the numbers and the receipts. Occasionally the balance is still sitting there</w:t>
            </w:r>
          </w:p>
        </w:tc>
      </w:tr>
    </w:tbl>
    <w:p>
      <w:pPr>
        <w:spacing w:after="200"/>
      </w:pPr>
    </w:p>
    <w:p>
      <w:pPr>
        <w:pStyle w:val="Heading3"/>
        <w:keepNext/>
        <w:spacing w:after="90" w:before="220"/>
      </w:pPr>
      <w:r>
        <w:rPr>
          <w:rFonts w:ascii="Calibri" w:cs="Calibri" w:eastAsia="Calibri" w:hAnsi="Calibri"/>
          <w:b/>
          <w:bCs/>
          <w:color w:val="41607C"/>
          <w:sz w:val="21"/>
          <w:szCs w:val="21"/>
        </w:rPr>
        <w:t xml:space="preserve">Within the day</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655"/>
        <w:gridCol w:w="8705"/>
      </w:tblGrid>
      <w:tr>
        <w:trPr>
          <w:tblHeader/>
        </w:trPr>
        <w:tc>
          <w:tcPr>
            <w:tcW w:type="dxa" w:w="655"/>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t>
            </w:r>
          </w:p>
        </w:tc>
        <w:tc>
          <w:tcPr>
            <w:tcW w:type="dxa" w:w="8705"/>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Then do this</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Report it to Scamwatch</w:t>
            </w:r>
            <w:r>
              <w:rPr>
                <w:rFonts w:ascii="Calibri" w:cs="Calibri" w:eastAsia="Calibri" w:hAnsi="Calibri"/>
                <w:b w:val="false"/>
                <w:bCs w:val="false"/>
                <w:color w:val="26221E"/>
                <w:sz w:val="21"/>
                <w:szCs w:val="21"/>
              </w:rPr>
              <w:t xml:space="preserve"> at scamwatch.gov.au. This is what tells authorities which scams are running right now</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Make a police report through ReportCyber</w:t>
            </w:r>
            <w:r>
              <w:rPr>
                <w:rFonts w:ascii="Calibri" w:cs="Calibri" w:eastAsia="Calibri" w:hAnsi="Calibri"/>
                <w:b w:val="false"/>
                <w:bCs w:val="false"/>
                <w:color w:val="26221E"/>
                <w:sz w:val="21"/>
                <w:szCs w:val="21"/>
              </w:rPr>
              <w:t xml:space="preserve"> at cyber.gov.au if money was lost. A Scamwatch report is not a police report, and you may need the reference number later</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Ring IDCARE on 1800 595 160</w:t>
            </w:r>
            <w:r>
              <w:rPr>
                <w:rFonts w:ascii="Calibri" w:cs="Calibri" w:eastAsia="Calibri" w:hAnsi="Calibri"/>
                <w:b w:val="false"/>
                <w:bCs w:val="false"/>
                <w:color w:val="26221E"/>
                <w:sz w:val="21"/>
                <w:szCs w:val="21"/>
              </w:rPr>
              <w:t xml:space="preserve"> if personal documents or ID were exposed. Free, Australian, and they will build you a specific response plan</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Place a ban on your credit file</w:t>
            </w:r>
            <w:r>
              <w:rPr>
                <w:rFonts w:ascii="Calibri" w:cs="Calibri" w:eastAsia="Calibri" w:hAnsi="Calibri"/>
                <w:b w:val="false"/>
                <w:bCs w:val="false"/>
                <w:color w:val="26221E"/>
                <w:sz w:val="21"/>
                <w:szCs w:val="21"/>
              </w:rPr>
              <w:t xml:space="preserve"> — see Part One</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870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Tell someone.</w:t>
            </w:r>
            <w:r>
              <w:rPr>
                <w:rFonts w:ascii="Calibri" w:cs="Calibri" w:eastAsia="Calibri" w:hAnsi="Calibri"/>
                <w:b w:val="false"/>
                <w:bCs w:val="false"/>
                <w:color w:val="26221E"/>
                <w:sz w:val="21"/>
                <w:szCs w:val="21"/>
              </w:rPr>
              <w:t xml:space="preserve"> Not only for support — your details are now on a list, and the follow-up approach is often the one that does the real damage</w:t>
            </w:r>
          </w:p>
        </w:tc>
      </w:tr>
    </w:tbl>
    <w:p>
      <w:pPr>
        <w:spacing w:after="200"/>
      </w:pP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rPr>
          <w:b/>
          <w:bCs/>
        </w:rPr>
        <w:t xml:space="preserve">Expect a second attempt.</w:t>
      </w:r>
      <w:r>
        <w:t xml:space="preserve"> Anyone who has been scammed once should treat every later contact about it — especially anyone offering to recover the money for a fee — as part of the same operation. Scamwatch, ReportCyber and IDCARE never charge, and never ring first offering to recover money.</w:t>
      </w:r>
    </w:p>
    <w:p>
      <w:pPr>
        <w:pStyle w:val="Heading2"/>
        <w:keepNext/>
        <w:spacing w:after="120" w:before="300"/>
      </w:pPr>
      <w:r>
        <w:rPr>
          <w:rFonts w:ascii="Cambria" w:cs="Cambria" w:eastAsia="Cambria" w:hAnsi="Cambria"/>
          <w:b/>
          <w:bCs/>
          <w:color w:val="26221E"/>
          <w:sz w:val="26"/>
          <w:szCs w:val="26"/>
        </w:rPr>
        <w:t xml:space="preserve">Helping someone who is in the middle of one</w:t>
      </w:r>
    </w:p>
    <w:p>
      <w:pPr>
        <w:spacing w:after="140" w:line="276"/>
      </w:pPr>
      <w:r>
        <w:t xml:space="preserve">This is the hardest situation in the whole subject, and most guides skip it. Someone being scammed has usually been coached to distrust the exact people trying to help. They may defend the scammer, hide transactions, or become angry when questioned, and confronting them head-on tends to push them further in.</w:t>
      </w:r>
    </w:p>
    <w:p>
      <w:pPr>
        <w:pStyle w:val="ListParagraph"/>
        <w:numPr>
          <w:ilvl w:val="0"/>
          <w:numId w:val="3"/>
        </w:numPr>
        <w:spacing w:after="80" w:line="270"/>
      </w:pPr>
      <w:r>
        <w:t xml:space="preserve">Ask questions rather than making accusations. </w:t>
      </w:r>
      <w:r>
        <w:rPr>
          <w:i/>
          <w:iCs/>
        </w:rPr>
        <w:t xml:space="preserve">“What happens if you ask to withdraw some of it?”</w:t>
      </w:r>
      <w:r>
        <w:t xml:space="preserve"> opens a door that </w:t>
      </w:r>
      <w:r>
        <w:rPr>
          <w:i/>
          <w:iCs/>
        </w:rPr>
        <w:t xml:space="preserve">“you’re being scammed”</w:t>
      </w:r>
      <w:r>
        <w:t xml:space="preserve"> closes.</w:t>
      </w:r>
    </w:p>
    <w:p>
      <w:pPr>
        <w:pStyle w:val="ListParagraph"/>
        <w:numPr>
          <w:ilvl w:val="0"/>
          <w:numId w:val="3"/>
        </w:numPr>
        <w:spacing w:after="80" w:line="270"/>
      </w:pPr>
      <w:r>
        <w:t xml:space="preserve">Focus on one concrete, checkable thing rather than arguing about the whole story.</w:t>
      </w:r>
    </w:p>
    <w:p>
      <w:pPr>
        <w:pStyle w:val="ListParagraph"/>
        <w:numPr>
          <w:ilvl w:val="0"/>
          <w:numId w:val="3"/>
        </w:numPr>
        <w:spacing w:after="80" w:line="270"/>
      </w:pPr>
      <w:r>
        <w:t xml:space="preserve">Involve their bank. Australian banks have staff trained for this and can slow a transaction down without it becoming a family argument.</w:t>
      </w:r>
    </w:p>
    <w:p>
      <w:pPr>
        <w:pStyle w:val="ListParagraph"/>
        <w:numPr>
          <w:ilvl w:val="0"/>
          <w:numId w:val="3"/>
        </w:numPr>
        <w:spacing w:after="80" w:line="270"/>
      </w:pPr>
      <w:r>
        <w:t xml:space="preserve">Do not lead with shame. The single biggest reason people lose more than they had to is that they could not face telling anyone early.</w:t>
      </w:r>
    </w:p>
    <w:p>
      <w:pPr>
        <w:spacing w:after="60"/>
      </w:pPr>
    </w:p>
    <w:p>
      <w:pPr>
        <w:pStyle w:val="Heading2"/>
        <w:keepNext/>
        <w:spacing w:after="120" w:before="300"/>
      </w:pPr>
      <w:r>
        <w:rPr>
          <w:rFonts w:ascii="Cambria" w:cs="Cambria" w:eastAsia="Cambria" w:hAnsi="Cambria"/>
          <w:b/>
          <w:bCs/>
          <w:color w:val="26221E"/>
          <w:sz w:val="26"/>
          <w:szCs w:val="26"/>
        </w:rPr>
        <w:t xml:space="preserve">Your household setup page</w:t>
      </w:r>
    </w:p>
    <w:p>
      <w:pPr>
        <w:spacing w:after="140" w:line="276"/>
      </w:pPr>
      <w:r>
        <w:t xml:space="preserve">Fill this in once. The app carries the same list on its </w:t>
      </w:r>
      <w:r>
        <w:rPr>
          <w:b/>
          <w:bCs/>
        </w:rPr>
        <w:t xml:space="preserve">Scams and fraud</w:t>
      </w:r>
      <w:r>
        <w:t xml:space="preserve"> tab with a date against each job, so the dates age by themselves and you can see next year which have gone stale.</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655"/>
        <w:gridCol w:w="6365"/>
        <w:gridCol w:w="2340"/>
      </w:tblGrid>
      <w:tr>
        <w:trPr>
          <w:tblHeader/>
        </w:trPr>
        <w:tc>
          <w:tcPr>
            <w:tcW w:type="dxa" w:w="655"/>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t>
            </w:r>
          </w:p>
        </w:tc>
        <w:tc>
          <w:tcPr>
            <w:tcW w:type="dxa" w:w="6365"/>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Setup task</w:t>
            </w:r>
          </w:p>
        </w:tc>
        <w:tc>
          <w:tcPr>
            <w:tcW w:type="dxa" w:w="2340"/>
            <w:shd w:fill="B2543B"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Done on</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6365"/>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Unique password + two-factor on our main email</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636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Transaction alerts switched on with the bank</w:t>
            </w:r>
          </w:p>
        </w:tc>
        <w:tc>
          <w:tcPr>
            <w:tcW w:type="dxa" w:w="234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636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Daily transfer limit lowered to a sensible number</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636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Credit card used for online purchases, not the debit card</w:t>
            </w:r>
          </w:p>
        </w:tc>
        <w:tc>
          <w:tcPr>
            <w:tcW w:type="dxa" w:w="234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636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Credit ban placed with Equifax and Experian — </w:t>
            </w:r>
            <w:r>
              <w:rPr>
                <w:rFonts w:ascii="Calibri" w:cs="Calibri" w:eastAsia="Calibri" w:hAnsi="Calibri"/>
                <w:b/>
                <w:bCs/>
                <w:color w:val="26221E"/>
                <w:sz w:val="21"/>
                <w:szCs w:val="21"/>
              </w:rPr>
              <w:t xml:space="preserve">21 days unless extended</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p>
        </w:tc>
      </w:tr>
      <w:tr>
        <w:tc>
          <w:tcPr>
            <w:tcW w:type="dxa" w:w="65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636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Family verification question agreed and practised</w:t>
            </w:r>
          </w:p>
        </w:tc>
        <w:tc>
          <w:tcPr>
            <w:tcW w:type="dxa" w:w="234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p>
        </w:tc>
      </w:tr>
      <w:tr>
        <w:tc>
          <w:tcPr>
            <w:tcW w:type="dxa" w:w="65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c>
          <w:tcPr>
            <w:tcW w:type="dxa" w:w="636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Everyone in the household has read Part Two</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p>
        </w:tc>
      </w:tr>
    </w:tbl>
    <w:p>
      <w:pPr>
        <w:spacing w:after="200"/>
      </w:pP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One thing the app will not hold, deliberately: your verification question and its answer.</w:t>
      </w:r>
      <w:r>
        <w:t xml:space="preserve"> Their whole value is that they exist in two people’s heads and nowhere else — least of all on a computer that a remote-access scam is designed to reach. The app records that you agreed one and said it out loud, and nothing more. The same goes for account numbers and passwords: neither this page nor that tab should ever carry them.</w:t>
      </w:r>
    </w:p>
    <w:p>
      <w:pPr>
        <w:spacing w:after="140" w:line="276"/>
      </w:pPr>
      <w:r>
        <w:t xml:space="preserve">Where to go: </w:t>
      </w:r>
      <w:r>
        <w:rPr>
          <w:b/>
          <w:bCs/>
        </w:rPr>
        <w:t xml:space="preserve">Scamwatch</w:t>
      </w:r>
      <w:r>
        <w:t xml:space="preserve"> (scamwatch.gov.au) to report a scam and read current alerts · </w:t>
      </w:r>
      <w:r>
        <w:rPr>
          <w:b/>
          <w:bCs/>
        </w:rPr>
        <w:t xml:space="preserve">ReportCyber</w:t>
      </w:r>
      <w:r>
        <w:t xml:space="preserve"> (cyber.gov.au) for the official police report · </w:t>
      </w:r>
      <w:r>
        <w:rPr>
          <w:b/>
          <w:bCs/>
        </w:rPr>
        <w:t xml:space="preserve">IDCARE</w:t>
      </w:r>
      <w:r>
        <w:t xml:space="preserve"> (1800 595 160) for identity theft support · </w:t>
      </w:r>
      <w:r>
        <w:rPr>
          <w:b/>
          <w:bCs/>
        </w:rPr>
        <w:t xml:space="preserve">your bank</w:t>
      </w:r>
      <w:r>
        <w:t xml:space="preserve">, on the number on your card, to stop and recall payments · </w:t>
      </w:r>
      <w:r>
        <w:rPr>
          <w:b/>
          <w:bCs/>
        </w:rPr>
        <w:t xml:space="preserve">AFCA</w:t>
      </w:r>
      <w:r>
        <w:t xml:space="preserve"> (afca.org.au) to complain about how a bank responded.</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8 · The emergency fund, and insurance</w:t>
      </w:r>
    </w:p>
    <w:p>
      <w:pPr>
        <w:spacing w:after="220" w:line="290"/>
      </w:pPr>
      <w:r>
        <w:rPr>
          <w:i/>
          <w:iCs/>
          <w:color w:val="6B6258"/>
          <w:sz w:val="23"/>
          <w:szCs w:val="23"/>
        </w:rPr>
        <w:t xml:space="preserve">The two things that decide whether a bad month is an inconvenience or the beginning of a debt spiral.</w:t>
      </w:r>
    </w:p>
    <w:p>
      <w:pPr>
        <w:spacing w:after="140" w:line="276"/>
      </w:pPr>
      <w:r>
        <w:t xml:space="preserve">Every household will have a year in which something goes wrong: a car, a roof, a redundancy, an illness, a funeral interstate. The event is not the variable — it is going to happen to everyone. What varies is whether the household meets it with cash or with a credit card at 20.99%.</w:t>
      </w:r>
    </w:p>
    <w:p>
      <w:pPr>
        <w:pStyle w:val="Heading2"/>
        <w:keepNext/>
        <w:spacing w:after="120" w:before="300"/>
      </w:pPr>
      <w:r>
        <w:rPr>
          <w:rFonts w:ascii="Cambria" w:cs="Cambria" w:eastAsia="Cambria" w:hAnsi="Cambria"/>
          <w:b/>
          <w:bCs/>
          <w:color w:val="26221E"/>
          <w:sz w:val="26"/>
          <w:szCs w:val="26"/>
        </w:rPr>
        <w:t xml:space="preserve">How much, and where</w:t>
      </w:r>
    </w:p>
    <w:p>
      <w:pPr>
        <w:spacing w:after="140" w:line="276"/>
      </w:pPr>
      <w:r>
        <w:t xml:space="preserve">The usual guidance is three to six months of committed costs — and the app gives you that number directly, because “committed costs” is simply the Bills &amp; commitments group plus Everyday living, read from the annual view. Divide by twelve and you have one month of cover.</w:t>
      </w:r>
    </w:p>
    <w:p>
      <w:pPr>
        <w:pStyle w:val="ListParagraph"/>
        <w:numPr>
          <w:ilvl w:val="0"/>
          <w:numId w:val="3"/>
        </w:numPr>
        <w:spacing w:after="80" w:line="270"/>
      </w:pPr>
      <w:r>
        <w:rPr>
          <w:b/>
          <w:bCs/>
        </w:rPr>
        <w:t xml:space="preserve">Under three months of cover:</w:t>
      </w:r>
      <w:r>
        <w:t xml:space="preserve"> the buffer is the household’s first financial job, ahead of extra mortgage repayments and ahead of investing.</w:t>
      </w:r>
    </w:p>
    <w:p>
      <w:pPr>
        <w:pStyle w:val="ListParagraph"/>
        <w:numPr>
          <w:ilvl w:val="0"/>
          <w:numId w:val="3"/>
        </w:numPr>
        <w:spacing w:after="80" w:line="270"/>
      </w:pPr>
      <w:r>
        <w:rPr>
          <w:b/>
          <w:bCs/>
        </w:rPr>
        <w:t xml:space="preserve">Three to six months:</w:t>
      </w:r>
      <w:r>
        <w:t xml:space="preserve"> comfortable for a two-income household in stable work.</w:t>
      </w:r>
    </w:p>
    <w:p>
      <w:pPr>
        <w:pStyle w:val="ListParagraph"/>
        <w:numPr>
          <w:ilvl w:val="0"/>
          <w:numId w:val="3"/>
        </w:numPr>
        <w:spacing w:after="80" w:line="270"/>
      </w:pPr>
      <w:r>
        <w:rPr>
          <w:b/>
          <w:bCs/>
        </w:rPr>
        <w:t xml:space="preserve">Six to twelve months:</w:t>
      </w:r>
      <w:r>
        <w:t xml:space="preserve"> appropriate for a single income, self-employment, contract work, or a household with a chronic health situation.</w:t>
      </w:r>
    </w:p>
    <w:p>
      <w:pPr>
        <w:spacing w:after="60"/>
      </w:pPr>
    </w:p>
    <w:p>
      <w:pPr>
        <w:spacing w:after="140" w:line="276"/>
      </w:pPr>
      <w:r>
        <w:t xml:space="preserve">Keep it separate from the everyday account and boring by design. In the app, an envelope beginning </w:t>
      </w:r>
      <w:r>
        <w:rPr>
          <w:b/>
          <w:bCs/>
        </w:rPr>
        <w:t xml:space="preserve">Emergency</w:t>
      </w:r>
      <w:r>
        <w:t xml:space="preserve"> funds the emergency fund on the balance sheet, which earns interest and is held apart from general savings — the flow and the stock again.</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Extra repayments are hard to get back; an offset balance is not.</w:t>
      </w:r>
      <w:r>
        <w:t xml:space="preserve"> For a household without much emergency cover, the flexibility of an offset can be worth more than the certainty of a smaller principal. This is one of the few genuinely open questions in household finance, and the app lets you test both.</w:t>
      </w:r>
    </w:p>
    <w:p>
      <w:pPr>
        <w:pStyle w:val="Heading2"/>
        <w:keepNext/>
        <w:spacing w:after="120" w:before="300"/>
      </w:pPr>
      <w:r>
        <w:rPr>
          <w:rFonts w:ascii="Cambria" w:cs="Cambria" w:eastAsia="Cambria" w:hAnsi="Cambria"/>
          <w:b/>
          <w:bCs/>
          <w:color w:val="26221E"/>
          <w:sz w:val="26"/>
          <w:szCs w:val="26"/>
        </w:rPr>
        <w:t xml:space="preserve">Insurance: the four questions</w:t>
      </w:r>
    </w:p>
    <w:p>
      <w:pPr>
        <w:spacing w:after="140" w:line="276"/>
      </w:pPr>
      <w:r>
        <w:t xml:space="preserve">Insurance is where households are most often either quietly over-paying or dangerously exposed, usually without knowing which. The app cannot tell you what cover suits you — that is a licensed adviser or broker — but it can do the one thing that almost never gets done: put every policy and its annual premium on one page.</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3931"/>
        <w:gridCol w:w="5429"/>
      </w:tblGrid>
      <w:tr>
        <w:trPr>
          <w:tblHeader/>
        </w:trPr>
        <w:tc>
          <w:tcPr>
            <w:tcW w:type="dxa" w:w="3931"/>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Ask</w:t>
            </w:r>
          </w:p>
        </w:tc>
        <w:tc>
          <w:tcPr>
            <w:tcW w:type="dxa" w:w="5429"/>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Why</w:t>
            </w:r>
          </w:p>
        </w:tc>
      </w:tr>
      <w:tr>
        <w:tc>
          <w:tcPr>
            <w:tcW w:type="dxa" w:w="3931"/>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What would actually happen if this income stopped for a year?</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Income protection and TPD exist for exactly this, and the answer is usually unknown</w:t>
            </w:r>
          </w:p>
        </w:tc>
      </w:tr>
      <w:tr>
        <w:tc>
          <w:tcPr>
            <w:tcW w:type="dxa" w:w="3931"/>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What cover is already inside our super, and does it end at a certain age?</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Cover inside super often ends without anyone being told</w:t>
            </w:r>
          </w:p>
        </w:tc>
      </w:tr>
      <w:tr>
        <w:tc>
          <w:tcPr>
            <w:tcW w:type="dxa" w:w="3931"/>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Is any of it now unnecessary?</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Cover taken out for a mortgage and dependent children may no longer be needed once both are gone</w:t>
            </w:r>
          </w:p>
        </w:tc>
      </w:tr>
      <w:tr>
        <w:tc>
          <w:tcPr>
            <w:tcW w:type="dxa" w:w="3931"/>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What is the total annual premium across every policy?</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List each as its own envelope. Seeing them together, at their yearly cost, is usually the first time anyone has</w:t>
            </w:r>
          </w:p>
        </w:tc>
      </w:tr>
    </w:tbl>
    <w:p>
      <w:pPr>
        <w:spacing w:after="200"/>
      </w:pPr>
    </w:p>
    <w:p>
      <w:pPr>
        <w:spacing w:after="200" w:before="60" w:line="260"/>
      </w:pPr>
      <w:r>
        <w:rPr>
          <w:i/>
          <w:iCs/>
          <w:color w:val="6B6258"/>
          <w:sz w:val="19"/>
          <w:szCs w:val="19"/>
        </w:rPr>
        <w:t xml:space="preserve">Retirement is one of the few moments when insurance genuinely should be reconsidered from scratch — income protection has nothing left to protect, while some households discover they are underinsured for exactly the risks that now matter.</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9 · Teaching children money</w:t>
      </w:r>
    </w:p>
    <w:p>
      <w:pPr>
        <w:spacing w:after="220" w:line="290"/>
      </w:pPr>
      <w:r>
        <w:rPr>
          <w:i/>
          <w:iCs/>
          <w:color w:val="6B6258"/>
          <w:sz w:val="23"/>
          <w:szCs w:val="23"/>
        </w:rPr>
        <w:t xml:space="preserve">Children learn most of what they will believe about money before they are twelve, and almost all of it from tone rather than instruction.</w:t>
      </w:r>
    </w:p>
    <w:p>
      <w:pPr>
        <w:spacing w:after="140" w:line="276"/>
      </w:pPr>
      <w:r>
        <w:t xml:space="preserve">Research on financial socialisation converges on an uncomfortable point: by around the age of seven, most children have formed the habits of mind that will govern their adult financial behaviour — whether money is something you plan or something that happens to you, whether it is discussed calmly or in a lowered voice, whether waiting is normal or intolerable. Very little of that comes from being taught. It comes from what was modelled in front of them.</w:t>
      </w:r>
    </w:p>
    <w:p>
      <w:pPr>
        <w:spacing w:after="140" w:line="276"/>
      </w:pPr>
      <w:r>
        <w:t xml:space="preserve">Which is why the case for teaching children is not really about children. A household that discusses a registration bill matter-of-factly raises adults who open envelopes. A household that goes quiet raises adults who do not.</w:t>
      </w:r>
    </w:p>
    <w:p>
      <w:pPr>
        <w:pStyle w:val="Heading2"/>
        <w:keepNext/>
        <w:spacing w:after="120" w:before="300"/>
      </w:pPr>
      <w:r>
        <w:rPr>
          <w:rFonts w:ascii="Cambria" w:cs="Cambria" w:eastAsia="Cambria" w:hAnsi="Cambria"/>
          <w:b/>
          <w:bCs/>
          <w:color w:val="26221E"/>
          <w:sz w:val="26"/>
          <w:szCs w:val="26"/>
        </w:rPr>
        <w:t xml:space="preserve">Why it matters more now than it did</w:t>
      </w:r>
    </w:p>
    <w:p>
      <w:pPr>
        <w:pStyle w:val="ListParagraph"/>
        <w:numPr>
          <w:ilvl w:val="0"/>
          <w:numId w:val="3"/>
        </w:numPr>
        <w:spacing w:after="80" w:line="270"/>
      </w:pPr>
      <w:r>
        <w:rPr>
          <w:b/>
          <w:bCs/>
        </w:rPr>
        <w:t xml:space="preserve">Money has become invisible.</w:t>
      </w:r>
      <w:r>
        <w:t xml:space="preserve"> A child who never sees cash change hands has no physical evidence that spending removes something. Tapping a card looks identical whether the account holds $40 or $40,000.</w:t>
      </w:r>
    </w:p>
    <w:p>
      <w:pPr>
        <w:pStyle w:val="ListParagraph"/>
        <w:numPr>
          <w:ilvl w:val="0"/>
          <w:numId w:val="3"/>
        </w:numPr>
        <w:spacing w:after="80" w:line="270"/>
      </w:pPr>
      <w:r>
        <w:rPr>
          <w:b/>
          <w:bCs/>
        </w:rPr>
        <w:t xml:space="preserve">Credit arrives earlier and more smoothly.</w:t>
      </w:r>
      <w:r>
        <w:t xml:space="preserve"> Buy-now-pay-later is designed to feel like a purchase rather than a loan, which is exactly the distinction a young adult most needs to be able to make.</w:t>
      </w:r>
    </w:p>
    <w:p>
      <w:pPr>
        <w:pStyle w:val="ListParagraph"/>
        <w:numPr>
          <w:ilvl w:val="0"/>
          <w:numId w:val="3"/>
        </w:numPr>
        <w:spacing w:after="80" w:line="270"/>
      </w:pPr>
      <w:r>
        <w:rPr>
          <w:b/>
          <w:bCs/>
        </w:rPr>
        <w:t xml:space="preserve">Compounding rewards the early.</w:t>
      </w:r>
      <w:r>
        <w:t xml:space="preserve"> Not the clever — the early. A decade of habit started at eighteen outperforms a great deal of sophistication started at forty.</w:t>
      </w:r>
    </w:p>
    <w:p>
      <w:pPr>
        <w:pStyle w:val="ListParagraph"/>
        <w:numPr>
          <w:ilvl w:val="0"/>
          <w:numId w:val="3"/>
        </w:numPr>
        <w:spacing w:after="80" w:line="270"/>
      </w:pPr>
      <w:r>
        <w:rPr>
          <w:b/>
          <w:bCs/>
        </w:rPr>
        <w:t xml:space="preserve">Mistakes get more expensive with age.</w:t>
      </w:r>
      <w:r>
        <w:t xml:space="preserve"> A seven-year-old who wastes the Spend jar has learned something that cost a few dollars. The same lesson at twenty-five costs a credit card.</w:t>
      </w:r>
    </w:p>
    <w:p>
      <w:pPr>
        <w:spacing w:after="60"/>
      </w:pPr>
    </w:p>
    <w:p>
      <w:pPr>
        <w:pStyle w:val="Heading2"/>
        <w:keepNext/>
        <w:spacing w:after="120" w:before="300"/>
      </w:pPr>
      <w:r>
        <w:rPr>
          <w:rFonts w:ascii="Cambria" w:cs="Cambria" w:eastAsia="Cambria" w:hAnsi="Cambria"/>
          <w:b/>
          <w:bCs/>
          <w:color w:val="26221E"/>
          <w:sz w:val="26"/>
          <w:szCs w:val="26"/>
        </w:rPr>
        <w:t xml:space="preserve">How the Kids’ corner works</w:t>
      </w:r>
    </w:p>
    <w:p>
      <w:pPr>
        <w:spacing w:after="140" w:line="276"/>
      </w:pPr>
      <w:r>
        <w:t xml:space="preserve">The Kids’ corner is a stand-alone tab for primary-schoolers. Nothing in it touches the family’s budget, balance sheet or forecast — deliberately, so a child can be shown the screen without the household’s figures being on it. Names come from the Family details tab, so each person is named once for the whole app.</w:t>
      </w:r>
    </w:p>
    <w:p>
      <w:pPr>
        <w:pStyle w:val="Heading3"/>
        <w:keepNext/>
        <w:spacing w:after="90" w:before="220"/>
      </w:pPr>
      <w:r>
        <w:rPr>
          <w:rFonts w:ascii="Calibri" w:cs="Calibri" w:eastAsia="Calibri" w:hAnsi="Calibri"/>
          <w:b/>
          <w:bCs/>
          <w:color w:val="41607C"/>
          <w:sz w:val="21"/>
          <w:szCs w:val="21"/>
        </w:rPr>
        <w:t xml:space="preserve">The four jars</w:t>
      </w:r>
    </w:p>
    <w:p>
      <w:pPr>
        <w:spacing w:after="140" w:line="276"/>
      </w:pPr>
      <w:r>
        <w:t xml:space="preserve">Pocket money lands on payday and gets split into four jars, each with a job.</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1685"/>
        <w:gridCol w:w="2434"/>
        <w:gridCol w:w="5241"/>
      </w:tblGrid>
      <w:tr>
        <w:trPr>
          <w:tblHeader/>
        </w:trPr>
        <w:tc>
          <w:tcPr>
            <w:tcW w:type="dxa" w:w="1685"/>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Jar</w:t>
            </w:r>
          </w:p>
        </w:tc>
        <w:tc>
          <w:tcPr>
            <w:tcW w:type="dxa" w:w="2434"/>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it is for</w:t>
            </w:r>
          </w:p>
        </w:tc>
        <w:tc>
          <w:tcPr>
            <w:tcW w:type="dxa" w:w="5241"/>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The lesson underneath</w:t>
            </w:r>
          </w:p>
        </w:tc>
      </w:tr>
      <w:tr>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r>
              <w:rPr>
                <w:rFonts w:ascii="Calibri" w:cs="Calibri" w:eastAsia="Calibri" w:hAnsi="Calibri"/>
                <w:b/>
                <w:bCs/>
                <w:color w:val="26221E"/>
                <w:sz w:val="21"/>
                <w:szCs w:val="21"/>
              </w:rPr>
              <w:t xml:space="preserve">Spend</w:t>
            </w:r>
          </w:p>
        </w:tc>
        <w:tc>
          <w:tcPr>
            <w:tcW w:type="dxa" w:w="2434"/>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For now</w:t>
            </w:r>
          </w:p>
        </w:tc>
        <w:tc>
          <w:tcPr>
            <w:tcW w:type="dxa" w:w="5241"/>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Somewhere safe for mistakes to happen</w:t>
            </w:r>
          </w:p>
        </w:tc>
      </w:tr>
      <w:tr>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r>
              <w:rPr>
                <w:rFonts w:ascii="Calibri" w:cs="Calibri" w:eastAsia="Calibri" w:hAnsi="Calibri"/>
                <w:b/>
                <w:bCs/>
                <w:color w:val="26221E"/>
                <w:sz w:val="21"/>
                <w:szCs w:val="21"/>
              </w:rPr>
              <w:t xml:space="preserve">Save</w:t>
            </w:r>
          </w:p>
        </w:tc>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For the goal</w:t>
            </w:r>
          </w:p>
        </w:tc>
        <w:tc>
          <w:tcPr>
            <w:tcW w:type="dxa" w:w="5241"/>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Waiting has a reward, and the reward is visible</w:t>
            </w:r>
          </w:p>
        </w:tc>
      </w:tr>
      <w:tr>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r>
              <w:rPr>
                <w:rFonts w:ascii="Calibri" w:cs="Calibri" w:eastAsia="Calibri" w:hAnsi="Calibri"/>
                <w:b/>
                <w:bCs/>
                <w:color w:val="26221E"/>
                <w:sz w:val="21"/>
                <w:szCs w:val="21"/>
              </w:rPr>
              <w:t xml:space="preserve">Share</w:t>
            </w:r>
          </w:p>
        </w:tc>
        <w:tc>
          <w:tcPr>
            <w:tcW w:type="dxa" w:w="2434"/>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For giving</w:t>
            </w:r>
          </w:p>
        </w:tc>
        <w:tc>
          <w:tcPr>
            <w:tcW w:type="dxa" w:w="5241"/>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Generosity is a normal part of a budget, not a leftover</w:t>
            </w:r>
          </w:p>
        </w:tc>
      </w:tr>
      <w:tr>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 </w:t>
            </w:r>
            <w:r>
              <w:rPr>
                <w:rFonts w:ascii="Calibri" w:cs="Calibri" w:eastAsia="Calibri" w:hAnsi="Calibri"/>
                <w:b/>
                <w:bCs/>
                <w:color w:val="26221E"/>
                <w:sz w:val="21"/>
                <w:szCs w:val="21"/>
              </w:rPr>
              <w:t xml:space="preserve">Keep</w:t>
            </w:r>
          </w:p>
        </w:tc>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Do not touch</w:t>
            </w:r>
          </w:p>
        </w:tc>
        <w:tc>
          <w:tcPr>
            <w:tcW w:type="dxa" w:w="5241"/>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training wheels for an emergency fund</w:t>
            </w:r>
          </w:p>
        </w:tc>
      </w:tr>
    </w:tbl>
    <w:p>
      <w:pPr>
        <w:spacing w:after="200"/>
      </w:pPr>
    </w:p>
    <w:p>
      <w:pPr>
        <w:spacing w:after="140" w:line="276"/>
      </w:pPr>
      <w:r>
        <w:t xml:space="preserve">The percentages are set by you — and this is worth doing </w:t>
      </w:r>
      <w:r>
        <w:rPr>
          <w:i/>
          <w:iCs/>
        </w:rPr>
        <w:t xml:space="preserve">with</w:t>
      </w:r>
      <w:r>
        <w:t xml:space="preserve"> the child rather than for them. Children who helped set 40/40/10/10 defend it; children who had it announced negotiate it every fortnight. Change the percentages with them watching and the app previews what each jar gets from this payday before anything is pressed.</w:t>
      </w:r>
    </w:p>
    <w:p>
      <w:pPr>
        <w:pStyle w:val="Heading3"/>
        <w:keepNext/>
        <w:spacing w:after="90" w:before="220"/>
      </w:pPr>
      <w:r>
        <w:rPr>
          <w:rFonts w:ascii="Calibri" w:cs="Calibri" w:eastAsia="Calibri" w:hAnsi="Calibri"/>
          <w:b/>
          <w:bCs/>
          <w:color w:val="41607C"/>
          <w:sz w:val="21"/>
          <w:szCs w:val="21"/>
        </w:rPr>
        <w:t xml:space="preserve">Chores, and the link that is the whole lesson</w:t>
      </w:r>
    </w:p>
    <w:p>
      <w:pPr>
        <w:spacing w:after="140" w:line="276"/>
      </w:pPr>
      <w:r>
        <w:t xml:space="preserve">Tick a chore when it is done and the money lands under that child’s name. Chores can run weekly, fortnightly, monthly or yearly, and the app converts them — a $10-a-month job counts $2.31 a week — so the pocket money figure is the total of what has actually been earned.</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t xml:space="preserve">Money that arrives regardless of anything teaches that money simply arrives. Money that follows work teaches the connection — and the connection is the whole lesson. </w:t>
      </w:r>
      <w:r>
        <w:rPr>
          <w:b/>
          <w:bCs/>
        </w:rPr>
        <w:t xml:space="preserve">The amount matters far less than the link.</w:t>
      </w:r>
      <w:r>
        <w:t xml:space="preserve"> Press payday together and let them watch the jars fill; that shared minute is the teaching, not the arithmetic.</w:t>
      </w:r>
    </w:p>
    <w:p>
      <w:pPr>
        <w:pStyle w:val="Heading3"/>
        <w:keepNext/>
        <w:spacing w:after="90" w:before="220"/>
      </w:pPr>
      <w:r>
        <w:rPr>
          <w:rFonts w:ascii="Calibri" w:cs="Calibri" w:eastAsia="Calibri" w:hAnsi="Calibri"/>
          <w:b/>
          <w:bCs/>
          <w:color w:val="41607C"/>
          <w:sz w:val="21"/>
          <w:szCs w:val="21"/>
        </w:rPr>
        <w:t xml:space="preserve">Goals, and the countdown</w:t>
      </w:r>
    </w:p>
    <w:p>
      <w:pPr>
        <w:spacing w:after="140" w:line="276"/>
      </w:pPr>
      <w:r>
        <w:t xml:space="preserve">Add a goal with its real price and the Save jar fills it, in order, one at a time. The app shows how many paydays away it is at the current chores and percentages — and this is where the most powerful moment in the tab happens. Tick one more chore and the paydays-to-go number drops in front of them. Nothing an adult says about effort lands the way watching that number move does.</w:t>
      </w:r>
    </w:p>
    <w:p>
      <w:pPr>
        <w:pStyle w:val="Heading2"/>
        <w:keepNext/>
        <w:spacing w:after="120" w:before="300"/>
      </w:pPr>
      <w:r>
        <w:rPr>
          <w:rFonts w:ascii="Cambria" w:cs="Cambria" w:eastAsia="Cambria" w:hAnsi="Cambria"/>
          <w:b/>
          <w:bCs/>
          <w:color w:val="26221E"/>
          <w:sz w:val="26"/>
          <w:szCs w:val="26"/>
        </w:rPr>
        <w:t xml:space="preserve">Eight things that work</w:t>
      </w:r>
    </w:p>
    <w:p>
      <w:pPr>
        <w:pStyle w:val="ListParagraph"/>
        <w:numPr>
          <w:ilvl w:val="0"/>
          <w:numId w:val="2"/>
        </w:numPr>
        <w:spacing w:after="80" w:line="270"/>
      </w:pPr>
      <w:r>
        <w:rPr>
          <w:b/>
          <w:bCs/>
        </w:rPr>
        <w:t xml:space="preserve">Let the chores set the pocket money, not the calendar.</w:t>
      </w:r>
    </w:p>
    <w:p>
      <w:pPr>
        <w:pStyle w:val="ListParagraph"/>
        <w:numPr>
          <w:ilvl w:val="0"/>
          <w:numId w:val="2"/>
        </w:numPr>
        <w:spacing w:after="80" w:line="270"/>
      </w:pPr>
      <w:r>
        <w:rPr>
          <w:b/>
          <w:bCs/>
        </w:rPr>
        <w:t xml:space="preserve">Decide the percentages together, once.</w:t>
      </w:r>
      <w:r>
        <w:t xml:space="preserve"> A family agreement, not a rule imposed on payday.</w:t>
      </w:r>
    </w:p>
    <w:p>
      <w:pPr>
        <w:pStyle w:val="ListParagraph"/>
        <w:numPr>
          <w:ilvl w:val="0"/>
          <w:numId w:val="2"/>
        </w:numPr>
        <w:spacing w:after="80" w:line="270"/>
      </w:pPr>
      <w:r>
        <w:rPr>
          <w:b/>
          <w:bCs/>
        </w:rPr>
        <w:t xml:space="preserve">Let the small mistakes happen.</w:t>
      </w:r>
      <w:r>
        <w:t xml:space="preserve"> Resist rescuing an empty Spend jar before the next payday. The emptiness is the teacher.</w:t>
      </w:r>
    </w:p>
    <w:p>
      <w:pPr>
        <w:pStyle w:val="ListParagraph"/>
        <w:numPr>
          <w:ilvl w:val="0"/>
          <w:numId w:val="2"/>
        </w:numPr>
        <w:spacing w:after="80" w:line="270"/>
      </w:pPr>
      <w:r>
        <w:rPr>
          <w:b/>
          <w:bCs/>
        </w:rPr>
        <w:t xml:space="preserve">Name the goal and count the paydays.</w:t>
      </w:r>
      <w:r>
        <w:t xml:space="preserve"> Saving is abstract; “fourteen more paydays until the scooter” is not.</w:t>
      </w:r>
    </w:p>
    <w:p>
      <w:pPr>
        <w:pStyle w:val="ListParagraph"/>
        <w:numPr>
          <w:ilvl w:val="0"/>
          <w:numId w:val="2"/>
        </w:numPr>
        <w:spacing w:after="80" w:line="270"/>
      </w:pPr>
      <w:r>
        <w:rPr>
          <w:b/>
          <w:bCs/>
        </w:rPr>
        <w:t xml:space="preserve">Show them that more work shortens the wait.</w:t>
      </w:r>
    </w:p>
    <w:p>
      <w:pPr>
        <w:pStyle w:val="ListParagraph"/>
        <w:numPr>
          <w:ilvl w:val="0"/>
          <w:numId w:val="2"/>
        </w:numPr>
        <w:spacing w:after="80" w:line="270"/>
      </w:pPr>
      <w:r>
        <w:rPr>
          <w:b/>
          <w:bCs/>
        </w:rPr>
        <w:t xml:space="preserve">Let the Share jar be their choice.</w:t>
      </w:r>
      <w:r>
        <w:t xml:space="preserve"> Generosity that is directed is compliance. An animal shelter counts.</w:t>
      </w:r>
    </w:p>
    <w:p>
      <w:pPr>
        <w:pStyle w:val="ListParagraph"/>
        <w:numPr>
          <w:ilvl w:val="0"/>
          <w:numId w:val="2"/>
        </w:numPr>
        <w:spacing w:after="80" w:line="270"/>
      </w:pPr>
      <w:r>
        <w:rPr>
          <w:b/>
          <w:bCs/>
        </w:rPr>
        <w:t xml:space="preserve">Talk about money in front of them, calmly.</w:t>
      </w:r>
      <w:r>
        <w:t xml:space="preserve"> Do a budget review with the children in the room — the annual view, not the fortnightly one, so they see planning rather than worry.</w:t>
      </w:r>
    </w:p>
    <w:p>
      <w:pPr>
        <w:pStyle w:val="ListParagraph"/>
        <w:numPr>
          <w:ilvl w:val="0"/>
          <w:numId w:val="2"/>
        </w:numPr>
        <w:spacing w:after="80" w:line="270"/>
      </w:pPr>
      <w:r>
        <w:rPr>
          <w:b/>
          <w:bCs/>
        </w:rPr>
        <w:t xml:space="preserve">Give the teenager a real bill.</w:t>
      </w:r>
      <w:r>
        <w:t xml:space="preserve"> Around fifteen or sixteen, hand over one genuine recurring cost — a phone plan, a subscription — funded from an agreed amount. The lesson is not the cost; it is that the money is gone before the month starts.</w:t>
      </w:r>
    </w:p>
    <w:p>
      <w:pPr>
        <w:spacing w:after="60"/>
      </w:pPr>
    </w:p>
    <w:p>
      <w:pPr>
        <w:spacing w:after="140" w:line="276"/>
      </w:pPr>
      <w:r>
        <w:t xml:space="preserve">And one that is a judgement call, and yours alone: </w:t>
      </w:r>
      <w:r>
        <w:rPr>
          <w:b/>
          <w:bCs/>
        </w:rPr>
        <w:t xml:space="preserve">show them your own balance sheet when you are ready.</w:t>
      </w:r>
      <w:r>
        <w:t xml:space="preserve"> Many adults reach thirty never having seen one. Showing a real one — including the mortgage — is a stronger inheritance than shielding them from it. Some households will find that right at fifteen; others never.</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10 · Talking about money with your partner</w:t>
      </w:r>
    </w:p>
    <w:p>
      <w:pPr>
        <w:spacing w:after="220" w:line="290"/>
      </w:pPr>
      <w:r>
        <w:rPr>
          <w:i/>
          <w:iCs/>
          <w:color w:val="6B6258"/>
          <w:sz w:val="23"/>
          <w:szCs w:val="23"/>
        </w:rPr>
        <w:t xml:space="preserve">Arguments about spending are usually arguments about security, fairness, freedom or being taken seriously. The app can settle what a decision costs. It cannot settle what it means.</w:t>
      </w:r>
    </w:p>
    <w:p>
      <w:pPr>
        <w:spacing w:after="140" w:line="276"/>
      </w:pPr>
      <w:r>
        <w:t xml:space="preserve">Almost every technique in this handbook assumes two adults who can look at the same screen without it becoming a fight. For a great many households that assumption does not hold, and no amount of better modelling helps. So here is the section that usually goes missing.</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808"/>
        <w:gridCol w:w="6552"/>
      </w:tblGrid>
      <w:tr>
        <w:trPr>
          <w:tblHeader/>
        </w:trPr>
        <w:tc>
          <w:tcPr>
            <w:tcW w:type="dxa" w:w="2808"/>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to do</w:t>
            </w:r>
          </w:p>
        </w:tc>
        <w:tc>
          <w:tcPr>
            <w:tcW w:type="dxa" w:w="6552"/>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Why it works</w:t>
            </w:r>
          </w:p>
        </w:tc>
      </w:tr>
      <w:tr>
        <w:tc>
          <w:tcPr>
            <w:tcW w:type="dxa" w:w="2808"/>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Book it. Do not ambush it.</w:t>
            </w:r>
          </w:p>
        </w:tc>
        <w:tc>
          <w:tcPr>
            <w:tcW w:type="dxa" w:w="655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Conversations that begin “we need to talk about” at nine at night go badly. Forty minutes agreed in advance, with a cup of tea and a defined end, goes differently — same two people, same figures</w:t>
            </w:r>
          </w:p>
        </w:tc>
      </w:tr>
      <w:tr>
        <w:tc>
          <w:tcPr>
            <w:tcW w:type="dxa" w:w="2808"/>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Start with the year, not the fortnight.</w:t>
            </w:r>
          </w:p>
        </w:tc>
        <w:tc>
          <w:tcPr>
            <w:tcW w:type="dxa" w:w="655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annual view is about planning; the fortnightly view is about what just happened, which is where blame lives. Begin with rego and insurances and the conversation stays on the machinery, not on anyone’s habits</w:t>
            </w:r>
          </w:p>
        </w:tc>
      </w:tr>
      <w:tr>
        <w:tc>
          <w:tcPr>
            <w:tcW w:type="dxa" w:w="2808"/>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Agree the goal before discussing the money.</w:t>
            </w:r>
          </w:p>
        </w:tc>
        <w:tc>
          <w:tcPr>
            <w:tcW w:type="dxa" w:w="655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Two people who have agreed to be mortgage-free by fifty-five argue very differently about takeaway than two people who have never said what they are for</w:t>
            </w:r>
          </w:p>
        </w:tc>
      </w:tr>
      <w:tr>
        <w:tc>
          <w:tcPr>
            <w:tcW w:type="dxa" w:w="2808"/>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Let the app be the third voice.</w:t>
            </w:r>
          </w:p>
        </w:tc>
        <w:tc>
          <w:tcPr>
            <w:tcW w:type="dxa" w:w="655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It is much easier to hear “the forecast says this doubles the deficit” than “you are wrong”. Change the figure, read the result, change it back</w:t>
            </w:r>
          </w:p>
        </w:tc>
      </w:tr>
      <w:tr>
        <w:tc>
          <w:tcPr>
            <w:tcW w:type="dxa" w:w="2808"/>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Give each person money nobody has to justify.</w:t>
            </w:r>
          </w:p>
        </w:tc>
        <w:tc>
          <w:tcPr>
            <w:tcW w:type="dxa" w:w="655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small personal amount each, equal and unquestioned, prevents most of the low-level friction in shared finances. It is not a loophole; it is maintenance</w:t>
            </w:r>
          </w:p>
        </w:tc>
      </w:tr>
      <w:tr>
        <w:tc>
          <w:tcPr>
            <w:tcW w:type="dxa" w:w="2808"/>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Say the number out loud, even if it is embarrassing.</w:t>
            </w:r>
          </w:p>
        </w:tc>
        <w:tc>
          <w:tcPr>
            <w:tcW w:type="dxa" w:w="655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Cards, personal loans and buy-now-pay-later arrangements that one person has not mentioned are common and rarely malicious. They also make every plan wrong until they are on the table</w:t>
            </w:r>
          </w:p>
        </w:tc>
      </w:tr>
      <w:tr>
        <w:tc>
          <w:tcPr>
            <w:tcW w:type="dxa" w:w="2808"/>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Review quarterly, not weekly.</w:t>
            </w:r>
          </w:p>
        </w:tc>
        <w:tc>
          <w:tcPr>
            <w:tcW w:type="dxa" w:w="655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Weekly reviews turn into surveillance. Quarterly stays strategic, and is often enough to catch a drift before it becomes a year</w:t>
            </w:r>
          </w:p>
        </w:tc>
      </w:tr>
    </w:tbl>
    <w:p>
      <w:pPr>
        <w:spacing w:after="200"/>
      </w:pP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Accept that one of you will care more about this.</w:t>
      </w:r>
      <w:r>
        <w:t xml:space="preserve"> In most households one person enjoys the numbers and the other does not, and that is entirely workable. What is not workable is the second person not knowing where anything is. Whoever keeps the app should show the other three things once a year: how to open it, where the Backup button is, and how to read the balance sheet.</w:t>
      </w:r>
    </w:p>
    <w:p>
      <w:pPr>
        <w:spacing w:after="200" w:before="60" w:line="260"/>
      </w:pPr>
      <w:r>
        <w:rPr>
          <w:i/>
          <w:iCs/>
          <w:color w:val="6B6258"/>
          <w:sz w:val="19"/>
          <w:szCs w:val="19"/>
        </w:rPr>
        <w:t xml:space="preserve">If money conversations reliably end badly, that is worth taking to a financial counsellor or a relationships service. The National Debt Helpline (1800 007 007) is free, independent and not only for people in crisis.</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11 · The psychology of spending</w:t>
      </w:r>
    </w:p>
    <w:p>
      <w:pPr>
        <w:spacing w:after="220" w:line="290"/>
      </w:pPr>
      <w:r>
        <w:rPr>
          <w:i/>
          <w:iCs/>
          <w:color w:val="6B6258"/>
          <w:sz w:val="23"/>
          <w:szCs w:val="23"/>
        </w:rPr>
        <w:t xml:space="preserve">Nobody decides to overspend. The decisions that do the damage are individually small, individually reasonable, and invisible at the scale at which they are made.</w:t>
      </w:r>
    </w:p>
    <w:p>
      <w:pPr>
        <w:spacing w:after="140" w:line="276"/>
      </w:pPr>
      <w:r>
        <w:t xml:space="preserve">If overspending were a matter of willpower, budgets would work and this section would be unnecessary. It is not. Spending is shaped by a handful of well-documented mechanisms that operate below the level of decision, and knowing their names makes them easier to catch. What follows is the short course.</w:t>
      </w:r>
    </w:p>
    <w:p>
      <w:pPr>
        <w:pStyle w:val="Heading2"/>
        <w:keepNext/>
        <w:spacing w:after="120" w:before="300"/>
      </w:pPr>
      <w:r>
        <w:rPr>
          <w:rFonts w:ascii="Cambria" w:cs="Cambria" w:eastAsia="Cambria" w:hAnsi="Cambria"/>
          <w:b/>
          <w:bCs/>
          <w:color w:val="26221E"/>
          <w:sz w:val="26"/>
          <w:szCs w:val="26"/>
        </w:rPr>
        <w:t xml:space="preserve">Five mechanisms worth being able to name</w:t>
      </w:r>
    </w:p>
    <w:p>
      <w:pPr>
        <w:pStyle w:val="Heading3"/>
        <w:keepNext/>
        <w:spacing w:after="90" w:before="220"/>
      </w:pPr>
      <w:r>
        <w:rPr>
          <w:rFonts w:ascii="Calibri" w:cs="Calibri" w:eastAsia="Calibri" w:hAnsi="Calibri"/>
          <w:b/>
          <w:bCs/>
          <w:color w:val="41607C"/>
          <w:sz w:val="21"/>
          <w:szCs w:val="21"/>
        </w:rPr>
        <w:t xml:space="preserve">The hedonic treadmill</w:t>
      </w:r>
    </w:p>
    <w:p>
      <w:pPr>
        <w:spacing w:after="140" w:line="276"/>
      </w:pPr>
      <w:r>
        <w:t xml:space="preserve">A pay rise feels transformative for about six weeks. Then it is simply what you earn, and the household has quietly grown into it — a better car, a bigger house, one more subscription — without anyone deciding to. Psychologists call it hedonic adaptation: you adapt to improvements and return to roughly the same contentment, having spent the difference.</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t xml:space="preserve">The useful part of this is not the gloom, it is the timing. </w:t>
      </w:r>
      <w:r>
        <w:rPr>
          <w:b/>
          <w:bCs/>
        </w:rPr>
        <w:t xml:space="preserve">There is a short window, before adaptation, when redirecting a rise costs nothing emotionally, because you have not yet felt it.</w:t>
      </w:r>
      <w:r>
        <w:t xml:space="preserve"> The week a rise lands, raise one envelope by the same amount — the mortgage, a savings envelope, or super. Do it before the first pay arrives at the new rate if you can.</w:t>
      </w:r>
    </w:p>
    <w:p>
      <w:pPr>
        <w:spacing w:after="140" w:line="276"/>
      </w:pPr>
      <w:r>
        <w:t xml:space="preserve">It works in reverse too, and asymmetrically: if income falls, the adjustment feels far worse than the same amount never gained. Which is why a cushion matters more than an optimised budget.</w:t>
      </w:r>
    </w:p>
    <w:p>
      <w:pPr>
        <w:pStyle w:val="Heading3"/>
        <w:keepNext/>
        <w:spacing w:after="90" w:before="220"/>
      </w:pPr>
      <w:r>
        <w:rPr>
          <w:rFonts w:ascii="Calibri" w:cs="Calibri" w:eastAsia="Calibri" w:hAnsi="Calibri"/>
          <w:b/>
          <w:bCs/>
          <w:color w:val="41607C"/>
          <w:sz w:val="21"/>
          <w:szCs w:val="21"/>
        </w:rPr>
        <w:t xml:space="preserve">Lifestyle creep</w:t>
      </w:r>
    </w:p>
    <w:p>
      <w:pPr>
        <w:spacing w:after="140" w:line="276"/>
      </w:pPr>
      <w:r>
        <w:t xml:space="preserve">The treadmill with a spreadsheet: income rises 4% and spending rises 6%, every year, and nothing feels extravagant at any point. It is invisible in a fortnightly view because each increase is small and reasonable. The annual view is the only place the gap shows up — compare this year’s envelope total with last year’s, and both against what you were paid.</w:t>
      </w:r>
    </w:p>
    <w:p>
      <w:pPr>
        <w:spacing w:after="140" w:line="276"/>
      </w:pPr>
      <w:r>
        <w:t xml:space="preserve">Some creep is legitimate. A growing family genuinely costs more, and a household that never lets its standard of living rise is saving for a life it is not having. The question is not whether spending rose. It is whether the rise was chosen.</w:t>
      </w:r>
    </w:p>
    <w:p>
      <w:pPr>
        <w:pStyle w:val="Heading3"/>
        <w:keepNext/>
        <w:spacing w:after="90" w:before="220"/>
      </w:pPr>
      <w:r>
        <w:rPr>
          <w:rFonts w:ascii="Calibri" w:cs="Calibri" w:eastAsia="Calibri" w:hAnsi="Calibri"/>
          <w:b/>
          <w:bCs/>
          <w:color w:val="41607C"/>
          <w:sz w:val="21"/>
          <w:szCs w:val="21"/>
        </w:rPr>
        <w:t xml:space="preserve">The Diderot effect</w:t>
      </w:r>
    </w:p>
    <w:p>
      <w:pPr>
        <w:spacing w:after="140" w:line="276"/>
      </w:pPr>
      <w:r>
        <w:t xml:space="preserve">Buy a new sofa and the rug looks tired, then the curtains, then the lamp. Buy a caravan and you need a tow bar, higher registration, more insurance and somewhere to keep it. Nobody decides to spend the extra — the new thing simply makes the old things look wrong, and each step seems small next to the one before. The name comes from an essay by Denis Diderot about a man whose new dressing gown cost him his entire study.</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t xml:space="preserve">Before you enter a planned purchase, </w:t>
      </w:r>
      <w:r>
        <w:rPr>
          <w:b/>
          <w:bCs/>
        </w:rPr>
        <w:t xml:space="preserve">write down what it drags behind it and add those to the price.</w:t>
      </w:r>
      <w:r>
        <w:t xml:space="preserve"> A caravan at $40,000 with a tow bar, storage and higher insurance is not a $40,000 decision. This is also the strongest argument for saving up rather than borrowing: a year of putting money aside gives the pull-through time to reveal itself, while credit means meeting the tow bar after you have already committed to the repayments.</w:t>
      </w:r>
    </w:p>
    <w:p>
      <w:pPr>
        <w:pStyle w:val="Heading3"/>
        <w:keepNext/>
        <w:spacing w:after="90" w:before="220"/>
      </w:pPr>
      <w:r>
        <w:rPr>
          <w:rFonts w:ascii="Calibri" w:cs="Calibri" w:eastAsia="Calibri" w:hAnsi="Calibri"/>
          <w:b/>
          <w:bCs/>
          <w:color w:val="41607C"/>
          <w:sz w:val="21"/>
          <w:szCs w:val="21"/>
        </w:rPr>
        <w:t xml:space="preserve">Mental accounting</w:t>
      </w:r>
    </w:p>
    <w:p>
      <w:pPr>
        <w:spacing w:after="140" w:line="276"/>
      </w:pPr>
      <w:r>
        <w:t xml:space="preserve">Money is treated differently depending on where it came from. A tax refund, a bonus, an inheritance or a redundancy payment is felt as “found” money and spent far more loosely than the identical amount earned in salary — even though a dollar is a dollar. The counter is mechanical rather than moral: a one-off amount is not income. Put it on the balance sheet as cash, and then give it a job before it develops one of its own.</w:t>
      </w:r>
    </w:p>
    <w:p>
      <w:pPr>
        <w:pStyle w:val="Heading3"/>
        <w:keepNext/>
        <w:spacing w:after="90" w:before="220"/>
      </w:pPr>
      <w:r>
        <w:rPr>
          <w:rFonts w:ascii="Calibri" w:cs="Calibri" w:eastAsia="Calibri" w:hAnsi="Calibri"/>
          <w:b/>
          <w:bCs/>
          <w:color w:val="41607C"/>
          <w:sz w:val="21"/>
          <w:szCs w:val="21"/>
        </w:rPr>
        <w:t xml:space="preserve">Friction, and its absence</w:t>
      </w:r>
    </w:p>
    <w:p>
      <w:pPr>
        <w:spacing w:after="140" w:line="276"/>
      </w:pPr>
      <w:r>
        <w:t xml:space="preserve">Every barrier removed between wanting and buying increases spending, and the last decade has removed nearly all of them: saved cards, one-tap checkout, subscriptions that renew silently, and buy-now-pay-later that is engineered to feel like a purchase rather than a loan. Nothing about your character changed. The environment did.</w:t>
      </w:r>
    </w:p>
    <w:p>
      <w:pPr>
        <w:pStyle w:val="Heading2"/>
        <w:keepNext/>
        <w:spacing w:after="120" w:before="300"/>
      </w:pPr>
      <w:r>
        <w:rPr>
          <w:rFonts w:ascii="Cambria" w:cs="Cambria" w:eastAsia="Cambria" w:hAnsi="Cambria"/>
          <w:b/>
          <w:bCs/>
          <w:color w:val="26221E"/>
          <w:sz w:val="26"/>
          <w:szCs w:val="26"/>
        </w:rPr>
        <w:t xml:space="preserve">Managing spending that has got away from you</w:t>
      </w:r>
    </w:p>
    <w:p>
      <w:pPr>
        <w:spacing w:after="140" w:line="276"/>
      </w:pPr>
      <w:r>
        <w:t xml:space="preserve">If the annual view has just shown you something you were not expecting, the following work — in roughly this order, and none of them require willpower to be the main ingredient.</w:t>
      </w:r>
    </w:p>
    <w:p>
      <w:pPr>
        <w:pStyle w:val="ListParagraph"/>
        <w:numPr>
          <w:ilvl w:val="0"/>
          <w:numId w:val="2"/>
        </w:numPr>
        <w:spacing w:after="80" w:line="270"/>
      </w:pPr>
      <w:r>
        <w:rPr>
          <w:b/>
          <w:bCs/>
        </w:rPr>
        <w:t xml:space="preserve">Put the year on one page first.</w:t>
      </w:r>
      <w:r>
        <w:t xml:space="preserve"> Do not change any behaviour until you can see what the money is actually doing. Half of what feels like a spending problem turns out to be an under-planned bills problem.</w:t>
      </w:r>
    </w:p>
    <w:p>
      <w:pPr>
        <w:pStyle w:val="ListParagraph"/>
        <w:numPr>
          <w:ilvl w:val="0"/>
          <w:numId w:val="2"/>
        </w:numPr>
        <w:spacing w:after="80" w:line="270"/>
      </w:pPr>
      <w:r>
        <w:rPr>
          <w:b/>
          <w:bCs/>
        </w:rPr>
        <w:t xml:space="preserve">Keep a handwritten spending diary for one month.</w:t>
      </w:r>
      <w:r>
        <w:t xml:space="preserve"> The Japanese </w:t>
      </w:r>
      <w:r>
        <w:rPr>
          <w:i/>
          <w:iCs/>
        </w:rPr>
        <w:t xml:space="preserve">kakeibo</w:t>
      </w:r>
      <w:r>
        <w:t xml:space="preserve"> method asks you to write every purchase by hand, and its power is exactly that friction — writing it down makes you notice it. This app works the other way, by showing the whole year at once. They pair well: the diary catches what you did not realise you were doing; the app catches what you forgot existed. After a month, adjust the envelopes that were wrong and put the diary away — the point was the noticing, not the record.</w:t>
      </w:r>
    </w:p>
    <w:p>
      <w:pPr>
        <w:pStyle w:val="ListParagraph"/>
        <w:numPr>
          <w:ilvl w:val="0"/>
          <w:numId w:val="2"/>
        </w:numPr>
        <w:spacing w:after="80" w:line="270"/>
      </w:pPr>
      <w:r>
        <w:rPr>
          <w:b/>
          <w:bCs/>
        </w:rPr>
        <w:t xml:space="preserve">Reinstate friction deliberately.</w:t>
      </w:r>
      <w:r>
        <w:t xml:space="preserve"> Remove saved cards from the shops you use most. Cancel and re-add rather than pause. Log out. Take the app off the phone and use the browser. Every extra step is a decision point that did not exist before.</w:t>
      </w:r>
    </w:p>
    <w:p>
      <w:pPr>
        <w:pStyle w:val="ListParagraph"/>
        <w:numPr>
          <w:ilvl w:val="0"/>
          <w:numId w:val="2"/>
        </w:numPr>
        <w:spacing w:after="80" w:line="270"/>
      </w:pPr>
      <w:r>
        <w:rPr>
          <w:b/>
          <w:bCs/>
        </w:rPr>
        <w:t xml:space="preserve">Use a delay rule with a number attached.</w:t>
      </w:r>
      <w:r>
        <w:t xml:space="preserve"> Anything over an agreed amount — $200 is a common household figure — waits seventy-two hours. Most of what does not survive three days was never wanted; what does survive gets bought without guilt.</w:t>
      </w:r>
    </w:p>
    <w:p>
      <w:pPr>
        <w:pStyle w:val="ListParagraph"/>
        <w:numPr>
          <w:ilvl w:val="0"/>
          <w:numId w:val="2"/>
        </w:numPr>
        <w:spacing w:after="80" w:line="270"/>
      </w:pPr>
      <w:r>
        <w:rPr>
          <w:b/>
          <w:bCs/>
        </w:rPr>
        <w:t xml:space="preserve">Audit the recurring, not the occasional.</w:t>
      </w:r>
      <w:r>
        <w:t xml:space="preserve"> Subscriptions and memberships are where the invisible money lives, because each is small and none is ever reconsidered. List every one at its annual cost. The total is usually the surprise.</w:t>
      </w:r>
    </w:p>
    <w:p>
      <w:pPr>
        <w:pStyle w:val="ListParagraph"/>
        <w:numPr>
          <w:ilvl w:val="0"/>
          <w:numId w:val="2"/>
        </w:numPr>
        <w:spacing w:after="80" w:line="270"/>
      </w:pPr>
      <w:r>
        <w:rPr>
          <w:b/>
          <w:bCs/>
        </w:rPr>
        <w:t xml:space="preserve">Give each adult unquestioned personal money.</w:t>
      </w:r>
      <w:r>
        <w:t xml:space="preserve"> Budgets that leave no room for autonomy get abandoned, and then blamed on the person rather than on the design.</w:t>
      </w:r>
    </w:p>
    <w:p>
      <w:pPr>
        <w:pStyle w:val="ListParagraph"/>
        <w:numPr>
          <w:ilvl w:val="0"/>
          <w:numId w:val="2"/>
        </w:numPr>
        <w:spacing w:after="80" w:line="270"/>
      </w:pPr>
      <w:r>
        <w:rPr>
          <w:b/>
          <w:bCs/>
        </w:rPr>
        <w:t xml:space="preserve">Fund the goal before the fortnight starts.</w:t>
      </w:r>
      <w:r>
        <w:t xml:space="preserve"> Automating the savings envelope on payday works because it removes the decision entirely, and a decision not made cannot be made badly.</w:t>
      </w:r>
    </w:p>
    <w:p>
      <w:pPr>
        <w:pStyle w:val="ListParagraph"/>
        <w:numPr>
          <w:ilvl w:val="0"/>
          <w:numId w:val="2"/>
        </w:numPr>
        <w:spacing w:after="80" w:line="270"/>
      </w:pPr>
      <w:r>
        <w:rPr>
          <w:b/>
          <w:bCs/>
        </w:rPr>
        <w:t xml:space="preserve">Do not aim for perfect.</w:t>
      </w:r>
      <w:r>
        <w:t xml:space="preserve"> A rough budget you keep for ten years beats a perfect one you abandon in six weeks. If part of this app is not working for you, simplify it rather than abandoning it — fewer envelopes at the right amounts beat forty at guessed ones.</w:t>
      </w:r>
    </w:p>
    <w:p>
      <w:pPr>
        <w:spacing w:after="60"/>
      </w:pPr>
    </w:p>
    <w:p>
      <w:pPr>
        <w:pStyle w:val="Heading2"/>
        <w:keepNext/>
        <w:spacing w:after="120" w:before="300"/>
      </w:pPr>
      <w:r>
        <w:rPr>
          <w:rFonts w:ascii="Cambria" w:cs="Cambria" w:eastAsia="Cambria" w:hAnsi="Cambria"/>
          <w:b/>
          <w:bCs/>
          <w:color w:val="26221E"/>
          <w:sz w:val="26"/>
          <w:szCs w:val="26"/>
        </w:rPr>
        <w:t xml:space="preserve">When it is not really about money</w:t>
      </w:r>
    </w:p>
    <w:p>
      <w:pPr>
        <w:spacing w:after="140" w:line="276"/>
      </w:pPr>
      <w:r>
        <w:t xml:space="preserve">Some spending is not a planning problem. Spending that reliably follows stress, loneliness, grief, conflict or boredom is doing a job, and removing it without addressing the job underneath rarely lasts. That is not a moral failing and it is very common — but a budget is the wrong tool for it, in the same way a thermometer is the wrong tool for a fever.</w:t>
      </w: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t xml:space="preserve">If spending has become compulsive, if debts are being hidden, or if gambling is involved, the right next step is a person rather than a spreadsheet. </w:t>
      </w:r>
      <w:r>
        <w:rPr>
          <w:b/>
          <w:bCs/>
        </w:rPr>
        <w:t xml:space="preserve">Financial counsellors are free, independent and confidential</w:t>
      </w:r>
      <w:r>
        <w:t xml:space="preserve"> — the National Debt Helpline is 1800 007 007. Nothing about asking early makes the position worse, and a great deal about waiting does.</w:t>
      </w:r>
    </w:p>
    <w:p>
      <w:pPr>
        <w:pStyle w:val="Heading2"/>
        <w:keepNext/>
        <w:spacing w:after="120" w:before="300"/>
      </w:pPr>
      <w:r>
        <w:rPr>
          <w:rFonts w:ascii="Cambria" w:cs="Cambria" w:eastAsia="Cambria" w:hAnsi="Cambria"/>
          <w:b/>
          <w:bCs/>
          <w:color w:val="26221E"/>
          <w:sz w:val="26"/>
          <w:szCs w:val="26"/>
        </w:rPr>
        <w:t xml:space="preserve">And one thing to guard against in the other direction</w:t>
      </w:r>
    </w:p>
    <w:p>
      <w:pPr>
        <w:spacing w:after="140" w:line="276"/>
      </w:pPr>
      <w:r>
        <w:t xml:space="preserve">It is possible to over-optimise. If you find yourself running scenario after scenario without changing anything, the analysis has become the avoidance. It is also possible to under-live: a household that never lets its standard of living rise is saving for a life it is not having, and a surplus in retirement is not a triumph if the years it was taken from are gone. The goal is deliberate spending, not minimal spending.</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12 · Retirement and retirement planning</w:t>
      </w:r>
    </w:p>
    <w:p>
      <w:pPr>
        <w:spacing w:after="220" w:line="290"/>
      </w:pPr>
      <w:r>
        <w:rPr>
          <w:i/>
          <w:iCs/>
          <w:color w:val="6B6258"/>
          <w:sz w:val="23"/>
          <w:szCs w:val="23"/>
        </w:rPr>
        <w:t xml:space="preserve">The question is not “is $600,000 a lot?” but “how long does $600,000 last at the income we want?” Those are different questions, and only the second is answerable.</w:t>
      </w:r>
    </w:p>
    <w:p>
      <w:pPr>
        <w:spacing w:after="140" w:line="276"/>
      </w:pPr>
      <w:r>
        <w:t xml:space="preserve">Retirement planning in Australia is unusually knowable, because the machinery is public. Super has rules, the Age Pension has a formula, and the tax treatment after sixty is simple. What makes it feel impenetrable is that the pieces are held by different institutions and nobody puts them on one page. The Retirement tab does exactly that, using the figures already on your balance sheet.</w:t>
      </w:r>
    </w:p>
    <w:p>
      <w:pPr>
        <w:pStyle w:val="Heading2"/>
        <w:keepNext/>
        <w:spacing w:after="120" w:before="300"/>
      </w:pPr>
      <w:r>
        <w:rPr>
          <w:rFonts w:ascii="Cambria" w:cs="Cambria" w:eastAsia="Cambria" w:hAnsi="Cambria"/>
          <w:b/>
          <w:bCs/>
          <w:color w:val="26221E"/>
          <w:sz w:val="26"/>
          <w:szCs w:val="26"/>
        </w:rPr>
        <w:t xml:space="preserve">The three ages that govern everything</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434"/>
        <w:gridCol w:w="3931"/>
        <w:gridCol w:w="2995"/>
      </w:tblGrid>
      <w:tr>
        <w:trPr>
          <w:tblHeader/>
        </w:trPr>
        <w:tc>
          <w:tcPr>
            <w:tcW w:type="dxa" w:w="2434"/>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Age</w:t>
            </w:r>
          </w:p>
        </w:tc>
        <w:tc>
          <w:tcPr>
            <w:tcW w:type="dxa" w:w="3931"/>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happens</w:t>
            </w:r>
          </w:p>
        </w:tc>
        <w:tc>
          <w:tcPr>
            <w:tcW w:type="dxa" w:w="2995"/>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Why it matters</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60</w:t>
            </w:r>
            <w:r>
              <w:rPr>
                <w:rFonts w:ascii="Calibri" w:cs="Calibri" w:eastAsia="Calibri" w:hAnsi="Calibri"/>
                <w:b w:val="false"/>
                <w:bCs w:val="false"/>
                <w:color w:val="26221E"/>
                <w:sz w:val="21"/>
                <w:szCs w:val="21"/>
              </w:rPr>
              <w:t xml:space="preserve"> — preservation age</w:t>
            </w:r>
          </w:p>
        </w:tc>
        <w:tc>
          <w:tcPr>
            <w:tcW w:type="dxa" w:w="3931"/>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Super becomes accessible on retirement, and pension income is tax-free</w:t>
            </w:r>
          </w:p>
        </w:tc>
        <w:tc>
          <w:tcPr>
            <w:tcW w:type="dxa" w:w="299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Nearly every “can I stop work at…” question turns on this</w:t>
            </w:r>
          </w:p>
        </w:tc>
      </w:tr>
      <w:tr>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65</w:t>
            </w:r>
          </w:p>
        </w:tc>
        <w:tc>
          <w:tcPr>
            <w:tcW w:type="dxa" w:w="3931"/>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Access becomes unconditional, whether or not you have retired</w:t>
            </w:r>
          </w:p>
        </w:tc>
        <w:tc>
          <w:tcPr>
            <w:tcW w:type="dxa" w:w="299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You no longer need to meet a condition of release</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67</w:t>
            </w:r>
            <w:r>
              <w:rPr>
                <w:rFonts w:ascii="Calibri" w:cs="Calibri" w:eastAsia="Calibri" w:hAnsi="Calibri"/>
                <w:b w:val="false"/>
                <w:bCs w:val="false"/>
                <w:color w:val="26221E"/>
                <w:sz w:val="21"/>
                <w:szCs w:val="21"/>
              </w:rPr>
              <w:t xml:space="preserve"> — Age Pension age</w:t>
            </w:r>
          </w:p>
        </w:tc>
        <w:tc>
          <w:tcPr>
            <w:tcW w:type="dxa" w:w="3931"/>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Age Pension may become payable, subject to the tests</w:t>
            </w:r>
          </w:p>
        </w:tc>
        <w:tc>
          <w:tcPr>
            <w:tcW w:type="dxa" w:w="299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For anyone born from 1957</w:t>
            </w:r>
          </w:p>
        </w:tc>
      </w:tr>
    </w:tbl>
    <w:p>
      <w:pPr>
        <w:spacing w:after="200"/>
      </w:pPr>
    </w:p>
    <w:p>
      <w:pPr>
        <w:spacing w:after="140" w:line="276"/>
      </w:pPr>
      <w:r>
        <w:t xml:space="preserve">Enter dates of birth on the Family details tab and the app marks the year each age arrives as it walks the projected balance sheet forward.</w:t>
      </w:r>
    </w:p>
    <w:p>
      <w:pPr>
        <w:pStyle w:val="Heading2"/>
        <w:keepNext/>
        <w:spacing w:after="120" w:before="300"/>
      </w:pPr>
      <w:r>
        <w:rPr>
          <w:rFonts w:ascii="Cambria" w:cs="Cambria" w:eastAsia="Cambria" w:hAnsi="Cambria"/>
          <w:b/>
          <w:bCs/>
          <w:color w:val="26221E"/>
          <w:sz w:val="26"/>
          <w:szCs w:val="26"/>
        </w:rPr>
        <w:t xml:space="preserve">What the Retirement tab models</w:t>
      </w:r>
    </w:p>
    <w:p>
      <w:pPr>
        <w:pStyle w:val="Heading3"/>
        <w:keepNext/>
        <w:spacing w:after="90" w:before="220"/>
      </w:pPr>
      <w:r>
        <w:rPr>
          <w:rFonts w:ascii="Calibri" w:cs="Calibri" w:eastAsia="Calibri" w:hAnsi="Calibri"/>
          <w:b/>
          <w:bCs/>
          <w:color w:val="41607C"/>
          <w:sz w:val="21"/>
          <w:szCs w:val="21"/>
        </w:rPr>
        <w:t xml:space="preserve">Living on the lump sum</w:t>
      </w:r>
    </w:p>
    <w:p>
      <w:pPr>
        <w:spacing w:after="140" w:line="276"/>
      </w:pPr>
      <w:r>
        <w:t xml:space="preserve">Tick </w:t>
      </w:r>
      <w:r>
        <w:rPr>
          <w:i/>
          <w:iCs/>
        </w:rPr>
        <w:t xml:space="preserve">retired</w:t>
      </w:r>
      <w:r>
        <w:t xml:space="preserve"> for a person and they draw a pension from their own super balance. Earnings are used first, then the drawing, year after year. If someone retires before preservation age, the app grows the balance untouched and starts drawings the year access arrives. Pension income is modelled tax-free, which is correct from sixty.</w:t>
      </w:r>
    </w:p>
    <w:p>
      <w:pPr>
        <w:pStyle w:val="Heading3"/>
        <w:keepNext/>
        <w:spacing w:after="90" w:before="220"/>
      </w:pPr>
      <w:r>
        <w:rPr>
          <w:rFonts w:ascii="Calibri" w:cs="Calibri" w:eastAsia="Calibri" w:hAnsi="Calibri"/>
          <w:b/>
          <w:bCs/>
          <w:color w:val="41607C"/>
          <w:sz w:val="21"/>
          <w:szCs w:val="21"/>
        </w:rPr>
        <w:t xml:space="preserve">Part-time work alongside a pension</w:t>
      </w:r>
    </w:p>
    <w:p>
      <w:pPr>
        <w:spacing w:after="140" w:line="276"/>
      </w:pPr>
      <w:r>
        <w:t xml:space="preserve">Fully supported, and it changes the arithmetic more than most people expect. Wages are taxed normally, employer super keeps flowing into the very balance being drawn from, and the pension remains tax-free — so the balance falls more slowly from both directions at once. Set an FTE and compare the “lasts until” year with and without it. </w:t>
      </w:r>
      <w:r>
        <w:rPr>
          <w:i/>
          <w:iCs/>
        </w:rPr>
        <w:t xml:space="preserve">“Can I afford to go part-time at sixty-two?”</w:t>
      </w:r>
      <w:r>
        <w:t xml:space="preserve"> is answerable in about a minute.</w:t>
      </w:r>
    </w:p>
    <w:p>
      <w:pPr>
        <w:pStyle w:val="Heading3"/>
        <w:keepNext/>
        <w:spacing w:after="90" w:before="220"/>
      </w:pPr>
      <w:r>
        <w:rPr>
          <w:rFonts w:ascii="Calibri" w:cs="Calibri" w:eastAsia="Calibri" w:hAnsi="Calibri"/>
          <w:b/>
          <w:bCs/>
          <w:color w:val="41607C"/>
          <w:sz w:val="21"/>
          <w:szCs w:val="21"/>
        </w:rPr>
        <w:t xml:space="preserve">Defined benefit pensions</w:t>
      </w:r>
    </w:p>
    <w:p>
      <w:pPr>
        <w:spacing w:after="140" w:line="276"/>
      </w:pPr>
      <w:r>
        <w:t xml:space="preserve">The classic public-sector, state-scheme or corporate pension: tax-free, indexed to inflation, paid for life. It counts as income without touching any super balance, and it has no lump-sum value on the balance sheet because there is no account to draw down. On the owner’s death a surviving spouse receives a set percentage — the reversion — for their lifetime.</w:t>
      </w:r>
    </w:p>
    <w:p>
      <w:pPr>
        <w:pStyle w:val="Heading3"/>
        <w:keepNext/>
        <w:spacing w:after="90" w:before="220"/>
      </w:pPr>
      <w:r>
        <w:rPr>
          <w:rFonts w:ascii="Calibri" w:cs="Calibri" w:eastAsia="Calibri" w:hAnsi="Calibri"/>
          <w:b/>
          <w:bCs/>
          <w:color w:val="41607C"/>
          <w:sz w:val="21"/>
          <w:szCs w:val="21"/>
        </w:rPr>
        <w:t xml:space="preserve">Minimum drawdown rates</w:t>
      </w:r>
    </w:p>
    <w:p>
      <w:pPr>
        <w:spacing w:after="140" w:line="276"/>
      </w:pPr>
      <w:r>
        <w:t xml:space="preserve">An account-based pension must pay out at least an age-based percentage each year, rising with age, and the app draws the larger of your target and the minimum. The rates are editable, like the tax table.</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The minimum is a withdrawal rule, not a spending rule.</w:t>
      </w:r>
      <w:r>
        <w:t xml:space="preserve"> That money must leave the tax-free pension account. It does not have to leave your life. Set a target below the age-based minimum, watch the app draw the minimum instead, and give the excess a Savings envelope.</w:t>
      </w:r>
    </w:p>
    <w:p>
      <w:pPr>
        <w:pStyle w:val="Heading3"/>
        <w:keepNext/>
        <w:spacing w:after="90" w:before="220"/>
      </w:pPr>
      <w:r>
        <w:rPr>
          <w:rFonts w:ascii="Calibri" w:cs="Calibri" w:eastAsia="Calibri" w:hAnsi="Calibri"/>
          <w:b/>
          <w:bCs/>
          <w:color w:val="41607C"/>
          <w:sz w:val="21"/>
          <w:szCs w:val="21"/>
        </w:rPr>
        <w:t xml:space="preserve">The retirement spending smile</w:t>
      </w:r>
    </w:p>
    <w:p>
      <w:pPr>
        <w:spacing w:after="140" w:line="276"/>
      </w:pPr>
      <w:r>
        <w:t xml:space="preserve">Most people do not spend the same amount every year of retirement. Research in Australia and overseas finds real spending typically eases through the active years, flattens, then lifts late as health and care costs arrive — the “smile”. It is off by default, because it is a population average and your household may look nothing like it. Turning it on generally makes the money last longer, which is exactly why it should be treated as a scenario rather than an assumption.</w:t>
      </w:r>
    </w:p>
    <w:p>
      <w:pPr>
        <w:pStyle w:val="Heading2"/>
        <w:keepNext/>
        <w:spacing w:after="120" w:before="300"/>
      </w:pPr>
      <w:r>
        <w:rPr>
          <w:rFonts w:ascii="Cambria" w:cs="Cambria" w:eastAsia="Cambria" w:hAnsi="Cambria"/>
          <w:b/>
          <w:bCs/>
          <w:color w:val="26221E"/>
          <w:sz w:val="26"/>
          <w:szCs w:val="26"/>
        </w:rPr>
        <w:t xml:space="preserve">The Age Pension, and the fact that surprises everyone</w:t>
      </w:r>
    </w:p>
    <w:p>
      <w:pPr>
        <w:spacing w:after="140" w:line="276"/>
      </w:pPr>
      <w:r>
        <w:t xml:space="preserve">The app estimates the Age Pension under both tests and, as Services Australia does, pays whichever gives less. Your principal home is exempt; everything else on the balance sheet counts, less any debt not secured on the home. Above the free area the pension tapers at $3 per fortnight for every $1,000 of assets.</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The pension rises as your savings fall.</w:t>
      </w:r>
      <w:r>
        <w:t xml:space="preserve"> It is calculated from what remains, so spending the lump sum lifts the pension underneath it — which is why a retiree’s income holds up far better than a lump-sum-only projection suggests. This is the most reassuring and least understood fact in Australian retirement. Switch the estimate on and read the year-by-year panel: assessable assets falling, the pension climbing to meet them.</w:t>
      </w:r>
    </w:p>
    <w:p>
      <w:pPr>
        <w:spacing w:after="140" w:line="276"/>
      </w:pPr>
      <w:r>
        <w:t xml:space="preserve">Under the income test, financial assets are </w:t>
      </w:r>
      <w:r>
        <w:rPr>
          <w:i/>
          <w:iCs/>
        </w:rPr>
        <w:t xml:space="preserve">deemed</w:t>
      </w:r>
      <w:r>
        <w:t xml:space="preserve"> rather than counted at their real return, wages are exempt up to the Work Bonus, and defined benefit income counts less its deduction — while account-based pension drawings are not counted as income at all. That last point catches people out.</w:t>
      </w:r>
    </w:p>
    <w:p>
      <w:pPr>
        <w:pBdr>
          <w:top w:val="single" w:color="E2E9F0" w:sz="2" w:space="8"/>
          <w:bottom w:val="single" w:color="E2E9F0" w:sz="2" w:space="8"/>
          <w:left w:val="single" w:color="41607C" w:sz="18" w:space="10"/>
          <w:right w:val="single" w:color="E2E9F0" w:sz="2" w:space="8"/>
        </w:pBdr>
        <w:shd w:fill="E2E9F0" w:color="auto" w:val="clear"/>
        <w:spacing w:after="200" w:before="160" w:line="276"/>
        <w:ind w:left="172" w:right="172"/>
      </w:pPr>
      <w:r>
        <w:rPr>
          <w:b/>
          <w:bCs/>
        </w:rPr>
        <w:t xml:space="preserve">Know the difference between income and cash flow.</w:t>
      </w:r>
      <w:r>
        <w:t xml:space="preserve"> Much of what an account-based pension pays is simply your own capital coming back, which is why the income test does not count it while it does count rent. Confusing the two leads people to chase income they do not need and to misjudge their entitlement. Test it: add rent under Other income and watch the pension fall, then increase your drawdown by the same amount and watch it not.</w:t>
      </w:r>
    </w:p>
    <w:p>
      <w:pPr>
        <w:spacing w:after="200" w:before="60" w:line="260"/>
      </w:pPr>
      <w:r>
        <w:rPr>
          <w:i/>
          <w:iCs/>
          <w:color w:val="6B6258"/>
          <w:sz w:val="19"/>
          <w:szCs w:val="19"/>
        </w:rPr>
        <w:t xml:space="preserve">Not modelled: rent and business income under the income test, the Work Bonus income bank, gifting and deprivation, granny flats, rent assistance, transitional rates and residency requirements. It is an estimate, never an entitlement — Services Australia decides the real figure, and thresholds move twice a year.</w:t>
      </w:r>
    </w:p>
    <w:p>
      <w:pPr>
        <w:pStyle w:val="Heading2"/>
        <w:keepNext/>
        <w:spacing w:after="120" w:before="300"/>
      </w:pPr>
      <w:r>
        <w:rPr>
          <w:rFonts w:ascii="Cambria" w:cs="Cambria" w:eastAsia="Cambria" w:hAnsi="Cambria"/>
          <w:b/>
          <w:bCs/>
          <w:color w:val="26221E"/>
          <w:sz w:val="26"/>
          <w:szCs w:val="26"/>
        </w:rPr>
        <w:t xml:space="preserve">The Commonwealth Seniors Health Card</w:t>
      </w:r>
    </w:p>
    <w:p>
      <w:pPr>
        <w:spacing w:after="140" w:line="276"/>
      </w:pPr>
      <w:r>
        <w:t xml:space="preserve">A separate entitlement from the Age Pension, with its own income test and </w:t>
      </w:r>
      <w:r>
        <w:rPr>
          <w:b/>
          <w:bCs/>
        </w:rPr>
        <w:t xml:space="preserve">no assets test</w:t>
      </w:r>
      <w:r>
        <w:t xml:space="preserve"> — which is why many self-funded retirees who receive no pension at all still qualify. It brings cheaper medicines, a lower Medicare safety net threshold, and various state concessions on rates, utilities and transport. It is one of the most commonly missed entitlements in Australian retirement, and the app will estimate eligibility if you ask it to.</w:t>
      </w:r>
    </w:p>
    <w:p>
      <w:pPr>
        <w:pStyle w:val="Heading2"/>
        <w:keepNext/>
        <w:spacing w:after="120" w:before="300"/>
      </w:pPr>
      <w:r>
        <w:rPr>
          <w:rFonts w:ascii="Cambria" w:cs="Cambria" w:eastAsia="Cambria" w:hAnsi="Cambria"/>
          <w:b/>
          <w:bCs/>
          <w:color w:val="26221E"/>
          <w:sz w:val="26"/>
          <w:szCs w:val="26"/>
        </w:rPr>
        <w:t xml:space="preserve">Five decisions worth making deliberately</w:t>
      </w:r>
    </w:p>
    <w:p>
      <w:pPr>
        <w:pStyle w:val="ListParagraph"/>
        <w:numPr>
          <w:ilvl w:val="0"/>
          <w:numId w:val="2"/>
        </w:numPr>
        <w:spacing w:after="80" w:line="270"/>
      </w:pPr>
      <w:r>
        <w:rPr>
          <w:b/>
          <w:bCs/>
        </w:rPr>
        <w:t xml:space="preserve">Decide how long you are planning for.</w:t>
      </w:r>
      <w:r>
        <w:t xml:space="preserve"> Most people quietly plan for about eighty. For a couple aged sixty-five today, the odds that at least one of them sees ninety are far higher than either expects — and a plan that runs out at eighty-five is not a plan, it is a hope. Set the horizon to reach age 95 for the younger of you and read the drawdown again. Planning for a long life is not the same as expecting one; it is buying certainty about the years you probably will see.</w:t>
      </w:r>
    </w:p>
    <w:p>
      <w:pPr>
        <w:pStyle w:val="ListParagraph"/>
        <w:numPr>
          <w:ilvl w:val="0"/>
          <w:numId w:val="2"/>
        </w:numPr>
        <w:spacing w:after="80" w:line="270"/>
      </w:pPr>
      <w:r>
        <w:rPr>
          <w:b/>
          <w:bCs/>
        </w:rPr>
        <w:t xml:space="preserve">Build in a cushion on purpose.</w:t>
      </w:r>
      <w:r>
        <w:t xml:space="preserve"> Leave a deliberate gap between what you expect to receive and what you plan to spend. A surplus in retirement is not money going to waste — it is the anxiety insurance that lets people actually enjoy what they have.</w:t>
      </w:r>
    </w:p>
    <w:p>
      <w:pPr>
        <w:pStyle w:val="ListParagraph"/>
        <w:numPr>
          <w:ilvl w:val="0"/>
          <w:numId w:val="2"/>
        </w:numPr>
        <w:spacing w:after="80" w:line="270"/>
      </w:pPr>
      <w:r>
        <w:rPr>
          <w:b/>
          <w:bCs/>
        </w:rPr>
        <w:t xml:space="preserve">Treat retirement as a dial, not a switch.</w:t>
      </w:r>
      <w:r>
        <w:t xml:space="preserve"> Two days a week, consulting, a board seat, seasonal work.</w:t>
      </w:r>
    </w:p>
    <w:p>
      <w:pPr>
        <w:pStyle w:val="ListParagraph"/>
        <w:numPr>
          <w:ilvl w:val="0"/>
          <w:numId w:val="2"/>
        </w:numPr>
        <w:spacing w:after="80" w:line="270"/>
      </w:pPr>
      <w:r>
        <w:rPr>
          <w:b/>
          <w:bCs/>
        </w:rPr>
        <w:t xml:space="preserve">Review the insurances.</w:t>
      </w:r>
      <w:r>
        <w:t xml:space="preserve"> Cover taken out for a mortgage and dependent children may no longer be needed; cover inside super often ends at a certain age without anyone being told.</w:t>
      </w:r>
    </w:p>
    <w:p>
      <w:pPr>
        <w:pStyle w:val="ListParagraph"/>
        <w:numPr>
          <w:ilvl w:val="0"/>
          <w:numId w:val="2"/>
        </w:numPr>
        <w:spacing w:after="80" w:line="270"/>
      </w:pPr>
      <w:r>
        <w:rPr>
          <w:b/>
          <w:bCs/>
        </w:rPr>
        <w:t xml:space="preserve">Find out what you actually have, in one place.</w:t>
      </w:r>
      <w:r>
        <w:t xml:space="preserve"> Many people approach sixty without a single view of both super balances, the mortgage, and what they spend. The number that matters is not any one of them; it is the relationship between them.</w:t>
      </w:r>
    </w:p>
    <w:p>
      <w:pPr>
        <w:spacing w:after="60"/>
      </w:pP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rPr>
          <w:b/>
          <w:bCs/>
        </w:rPr>
        <w:t xml:space="preserve">Know when to stop reading and start asking.</w:t>
      </w:r>
      <w:r>
        <w:t xml:space="preserve"> This handbook explains mechanics. It cannot tell you whether a strategy suits you. Transition-to-retirement pensions, contribution strategies, estate planning, insurance inside super and anything involving a self-managed fund are conversations for a licensed financial adviser or registered tax agent. Services Australia’s </w:t>
      </w:r>
      <w:r>
        <w:rPr>
          <w:b/>
          <w:bCs/>
        </w:rPr>
        <w:t xml:space="preserve">Financial Information Service</w:t>
      </w:r>
      <w:r>
        <w:t xml:space="preserve"> is free, independent and rarely mentioned.</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13 · Assumptions, forecasts and testing a decision</w:t>
      </w:r>
    </w:p>
    <w:p>
      <w:pPr>
        <w:spacing w:after="220" w:line="290"/>
      </w:pPr>
      <w:r>
        <w:rPr>
          <w:i/>
          <w:iCs/>
          <w:color w:val="6B6258"/>
          <w:sz w:val="23"/>
          <w:szCs w:val="23"/>
        </w:rPr>
        <w:t xml:space="preserve">They are your guesses, not predictions — and the honest way to use them is to change them and see what survives.</w:t>
      </w:r>
    </w:p>
    <w:p>
      <w:pPr>
        <w:spacing w:after="140" w:line="276"/>
      </w:pPr>
      <w:r>
        <w:t xml:space="preserve">Every projection in the app — the forecast, the projected balance sheets, the retirement drawdown, the Age Pension estimate and every planned purchase — rests on a handful of numbers on the </w:t>
      </w:r>
      <w:r>
        <w:rPr>
          <w:b/>
          <w:bCs/>
        </w:rPr>
        <w:t xml:space="preserve">Your assumptions</w:t>
      </w:r>
      <w:r>
        <w:t xml:space="preserve"> tab: inflation, salary growth, property growth, investment return, cash interest, vehicle depreciation, and how much of your savings is invested rather than held as cash.</w:t>
      </w:r>
    </w:p>
    <w:p>
      <w:pPr>
        <w:spacing w:after="140" w:line="276"/>
      </w:pPr>
      <w:r>
        <w:t xml:space="preserve">None of them touch your budget or your opening balance sheet. They are long-run yearly averages, and everything reruns as you type.</w:t>
      </w:r>
    </w:p>
    <w:p>
      <w:pPr>
        <w:pStyle w:val="Heading2"/>
        <w:keepNext/>
        <w:spacing w:after="120" w:before="300"/>
      </w:pPr>
      <w:r>
        <w:rPr>
          <w:rFonts w:ascii="Cambria" w:cs="Cambria" w:eastAsia="Cambria" w:hAnsi="Cambria"/>
          <w:b/>
          <w:bCs/>
          <w:color w:val="26221E"/>
          <w:sz w:val="26"/>
          <w:szCs w:val="26"/>
        </w:rPr>
        <w:t xml:space="preserve">Today’s dollars or future dollars</w:t>
      </w:r>
    </w:p>
    <w:p>
      <w:pPr>
        <w:spacing w:after="140" w:line="276"/>
      </w:pPr>
      <w:r>
        <w:t xml:space="preserve">Every projection screen has this switch, and reading the wrong one is the most common misunderstanding in the whole app.</w:t>
      </w:r>
    </w:p>
    <w:p>
      <w:pPr>
        <w:pStyle w:val="ListParagraph"/>
        <w:numPr>
          <w:ilvl w:val="0"/>
          <w:numId w:val="3"/>
        </w:numPr>
        <w:spacing w:after="80" w:line="270"/>
      </w:pPr>
      <w:r>
        <w:rPr>
          <w:b/>
          <w:bCs/>
        </w:rPr>
        <w:t xml:space="preserve">Today’s dollars</w:t>
      </w:r>
      <w:r>
        <w:t xml:space="preserve"> strips inflation out, so figures are comparable with what money buys now. Use this to answer </w:t>
      </w:r>
      <w:r>
        <w:rPr>
          <w:i/>
          <w:iCs/>
        </w:rPr>
        <w:t xml:space="preserve">“will we be comfortable?”</w:t>
      </w:r>
    </w:p>
    <w:p>
      <w:pPr>
        <w:pStyle w:val="ListParagraph"/>
        <w:numPr>
          <w:ilvl w:val="0"/>
          <w:numId w:val="3"/>
        </w:numPr>
        <w:spacing w:after="80" w:line="270"/>
      </w:pPr>
      <w:r>
        <w:rPr>
          <w:b/>
          <w:bCs/>
        </w:rPr>
        <w:t xml:space="preserve">Future dollars</w:t>
      </w:r>
      <w:r>
        <w:t xml:space="preserve"> shows the actual numbers that will appear on statements. Use this to answer </w:t>
      </w:r>
      <w:r>
        <w:rPr>
          <w:i/>
          <w:iCs/>
        </w:rPr>
        <w:t xml:space="preserve">“what will the balance say?”</w:t>
      </w:r>
    </w:p>
    <w:p>
      <w:pPr>
        <w:spacing w:after="60"/>
      </w:pPr>
    </w:p>
    <w:p>
      <w:pPr>
        <w:spacing w:after="140" w:line="276"/>
      </w:pPr>
      <w:r>
        <w:t xml:space="preserve">A $40,000 caravan planned for 2031 costs more than $40,000 when it arrives. That is the same caravan, not a bigger one.</w:t>
      </w:r>
    </w:p>
    <w:p>
      <w:pPr>
        <w:pStyle w:val="Heading2"/>
        <w:keepNext/>
        <w:spacing w:after="120" w:before="300"/>
      </w:pPr>
      <w:r>
        <w:rPr>
          <w:rFonts w:ascii="Cambria" w:cs="Cambria" w:eastAsia="Cambria" w:hAnsi="Cambria"/>
          <w:b/>
          <w:bCs/>
          <w:color w:val="26221E"/>
          <w:sz w:val="26"/>
          <w:szCs w:val="26"/>
        </w:rPr>
        <w:t xml:space="preserve">Planning a purchase properly</w:t>
      </w:r>
    </w:p>
    <w:p>
      <w:pPr>
        <w:spacing w:after="140" w:line="276"/>
      </w:pPr>
      <w:r>
        <w:t xml:space="preserve">The Forecast tab lets you plan a car, a caravan, a renovation or any large spend in a chosen year, paid from savings, with a loan, or both. Costs are entered in today’s dollars and rise with inflation to the purchase year. Two consequences surprise people:</w:t>
      </w:r>
    </w:p>
    <w:p>
      <w:pPr>
        <w:pStyle w:val="ListParagraph"/>
        <w:numPr>
          <w:ilvl w:val="0"/>
          <w:numId w:val="3"/>
        </w:numPr>
        <w:spacing w:after="80" w:line="270"/>
      </w:pPr>
      <w:r>
        <w:rPr>
          <w:b/>
          <w:bCs/>
        </w:rPr>
        <w:t xml:space="preserve">The asset’s later value is the indexed price less depreciation.</w:t>
      </w:r>
      <w:r>
        <w:t xml:space="preserve"> Vehicles lose a percentage of their </w:t>
      </w:r>
      <w:r>
        <w:rPr>
          <w:i/>
          <w:iCs/>
        </w:rPr>
        <w:t xml:space="preserve">remaining</w:t>
      </w:r>
      <w:r>
        <w:t xml:space="preserve"> value each year, so they never quite reach zero.</w:t>
      </w:r>
    </w:p>
    <w:p>
      <w:pPr>
        <w:pStyle w:val="ListParagraph"/>
        <w:numPr>
          <w:ilvl w:val="0"/>
          <w:numId w:val="3"/>
        </w:numPr>
        <w:spacing w:after="80" w:line="270"/>
      </w:pPr>
      <w:r>
        <w:rPr>
          <w:b/>
          <w:bCs/>
        </w:rPr>
        <w:t xml:space="preserve">A loan’s balance at the end of its first year is already lower than the price</w:t>
      </w:r>
      <w:r>
        <w:t xml:space="preserve">, because a year of repayments has been made.</w:t>
      </w:r>
    </w:p>
    <w:p>
      <w:pPr>
        <w:spacing w:after="60"/>
      </w:pPr>
    </w:p>
    <w:p>
      <w:pPr>
        <w:spacing w:after="140" w:line="276"/>
      </w:pPr>
      <w:r>
        <w:t xml:space="preserve">A purchase spends its own named envelope fund first, then the general savings pool, then a loan — with the repayments coming out of the surplus. Once a loan is paid off, its repayments stop being spent, a linked envelope drops out of planned spending from the following year, and the freed money appears in the annual surplus, ready to be given a new job.</w:t>
      </w:r>
    </w:p>
    <w:p>
      <w:pPr>
        <w:pStyle w:val="Heading2"/>
        <w:keepNext/>
        <w:spacing w:after="120" w:before="300"/>
      </w:pPr>
      <w:r>
        <w:rPr>
          <w:rFonts w:ascii="Cambria" w:cs="Cambria" w:eastAsia="Cambria" w:hAnsi="Cambria"/>
          <w:b/>
          <w:bCs/>
          <w:color w:val="26221E"/>
          <w:sz w:val="26"/>
          <w:szCs w:val="26"/>
        </w:rPr>
        <w:t xml:space="preserve">Saved sets, and the stress test</w:t>
      </w:r>
    </w:p>
    <w:p>
      <w:pPr>
        <w:spacing w:after="140" w:line="276"/>
      </w:pPr>
      <w:r>
        <w:t xml:space="preserve">Keep two or three named views of the future — a base case, a cautious one, an optimistic one — and switch between them. Your figures never change; only the assumptions do.</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A plan that only works on optimistic numbers is worth knowing about tonight rather than in twenty years.</w:t>
      </w:r>
      <w:r>
        <w:t xml:space="preserve"> The </w:t>
      </w:r>
      <w:r>
        <w:rPr>
          <w:i/>
          <w:iCs/>
        </w:rPr>
        <w:t xml:space="preserve">What if you are wrong?</w:t>
      </w:r>
      <w:r>
        <w:t xml:space="preserve"> panel compares your settings against a deliberately gloomier set — a lower return and higher inflation — without changing anything. If the plan survives that, you have a real answer rather than a hopeful one.</w:t>
      </w:r>
    </w:p>
    <w:p>
      <w:pPr>
        <w:spacing w:after="200" w:before="60" w:line="260"/>
      </w:pPr>
      <w:r>
        <w:rPr>
          <w:i/>
          <w:iCs/>
          <w:color w:val="6B6258"/>
          <w:sz w:val="19"/>
          <w:szCs w:val="19"/>
        </w:rPr>
        <w:t xml:space="preserve">A note on rates built into the app, as distinct from your assumptions: the tax brackets, Medicare levy and concessional cap on the Income &amp; tax tab, and the pension and health card figures on the Retirement tab, are official figures with fixed expiry dates. Check them before running a cohort or relying on a projection.</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14 · Wills, powers of attorney and what happens next</w:t>
      </w:r>
    </w:p>
    <w:p>
      <w:pPr>
        <w:spacing w:after="220" w:line="290"/>
      </w:pPr>
      <w:r>
        <w:rPr>
          <w:i/>
          <w:iCs/>
          <w:color w:val="6B6258"/>
          <w:sz w:val="23"/>
          <w:szCs w:val="23"/>
        </w:rPr>
        <w:t xml:space="preserve">A will takes effect when you die. A power of attorney matters while you are alive but unable to act. Households often have the first and not the second, which is the wrong way round in terms of likelihood.</w:t>
      </w:r>
    </w:p>
    <w:p>
      <w:pPr>
        <w:spacing w:after="140" w:line="276"/>
      </w:pPr>
      <w:r>
        <w:t xml:space="preserve">This is the section people postpone, and the postponement is rational in the short term and expensive in the long term. Almost none of it is difficult. Most of it is a single afternoon, one phone call to a super fund, and a printed page kept with the will.</w:t>
      </w: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t xml:space="preserve">Nothing in this section is legal advice, and the app makes no judgement about whether any document is valid or suitable for you. Wills and enduring appointments are </w:t>
      </w:r>
      <w:r>
        <w:rPr>
          <w:b/>
          <w:bCs/>
        </w:rPr>
        <w:t xml:space="preserve">state-based</w:t>
      </w:r>
      <w:r>
        <w:t xml:space="preserve"> and easy to invalidate by accident. See a solicitor or your state’s public trustee organisation — many offer low-cost or free wills for older Australians.</w:t>
      </w:r>
    </w:p>
    <w:p>
      <w:pPr>
        <w:pStyle w:val="Heading2"/>
        <w:keepNext/>
        <w:spacing w:after="120" w:before="300"/>
      </w:pPr>
      <w:r>
        <w:rPr>
          <w:rFonts w:ascii="Cambria" w:cs="Cambria" w:eastAsia="Cambria" w:hAnsi="Cambria"/>
          <w:b/>
          <w:bCs/>
          <w:color w:val="26221E"/>
          <w:sz w:val="26"/>
          <w:szCs w:val="26"/>
        </w:rPr>
        <w:t xml:space="preserve">The four documents</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434"/>
        <w:gridCol w:w="2434"/>
        <w:gridCol w:w="4492"/>
      </w:tblGrid>
      <w:tr>
        <w:trPr>
          <w:tblHeader/>
        </w:trPr>
        <w:tc>
          <w:tcPr>
            <w:tcW w:type="dxa" w:w="2434"/>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Document</w:t>
            </w:r>
          </w:p>
        </w:tc>
        <w:tc>
          <w:tcPr>
            <w:tcW w:type="dxa" w:w="2434"/>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When it operates</w:t>
            </w:r>
          </w:p>
        </w:tc>
        <w:tc>
          <w:tcPr>
            <w:tcW w:type="dxa" w:w="4492"/>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happens without it</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Will</w:t>
            </w:r>
          </w:p>
        </w:tc>
        <w:tc>
          <w:tcPr>
            <w:tcW w:type="dxa" w:w="2434"/>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After death</w:t>
            </w:r>
          </w:p>
        </w:tc>
        <w:tc>
          <w:tcPr>
            <w:tcW w:type="dxa" w:w="449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formula set by your state decides who receives what — rarely what the household would have chosen</w:t>
            </w:r>
          </w:p>
        </w:tc>
      </w:tr>
      <w:tr>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Enduring power of attorney (financial)</w:t>
            </w:r>
          </w:p>
        </w:tc>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While alive, but unable to act</w:t>
            </w:r>
          </w:p>
        </w:tc>
        <w:tc>
          <w:tcPr>
            <w:tcW w:type="dxa" w:w="449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An application to a state tribunal to have someone appointed. Slow, public and expensive</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Enduring medical appointment</w:t>
            </w:r>
          </w:p>
        </w:tc>
        <w:tc>
          <w:tcPr>
            <w:tcW w:type="dxa" w:w="2434"/>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While alive, unable to make health decisions</w:t>
            </w:r>
          </w:p>
        </w:tc>
        <w:tc>
          <w:tcPr>
            <w:tcW w:type="dxa" w:w="449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Doctors must fall back on a statutory hierarchy that may not reflect your wishes. This one goes by a different name in nearly every state</w:t>
            </w:r>
          </w:p>
        </w:tc>
      </w:tr>
      <w:tr>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Super death benefit nomination</w:t>
            </w:r>
          </w:p>
        </w:tc>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After death, outside the will</w:t>
            </w:r>
          </w:p>
        </w:tc>
        <w:tc>
          <w:tcPr>
            <w:tcW w:type="dxa" w:w="449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trustee decides who receives your super at its discretion</w:t>
            </w:r>
          </w:p>
        </w:tc>
      </w:tr>
    </w:tbl>
    <w:p>
      <w:pPr>
        <w:spacing w:after="200"/>
      </w:pPr>
    </w:p>
    <w:p>
      <w:pPr>
        <w:spacing w:after="140" w:line="276"/>
      </w:pPr>
      <w:r>
        <w:t xml:space="preserve">These are personal documents, not household ones. A household does not have a will; two people each have one — which is why the app gives each adult their own block.</w:t>
      </w:r>
    </w:p>
    <w:p>
      <w:pPr>
        <w:pStyle w:val="Heading2"/>
        <w:keepNext/>
        <w:spacing w:after="120" w:before="300"/>
      </w:pPr>
      <w:r>
        <w:rPr>
          <w:rFonts w:ascii="Cambria" w:cs="Cambria" w:eastAsia="Cambria" w:hAnsi="Cambria"/>
          <w:b/>
          <w:bCs/>
          <w:color w:val="26221E"/>
          <w:sz w:val="26"/>
          <w:szCs w:val="26"/>
        </w:rPr>
        <w:t xml:space="preserve">The fact that surprises almost everyone</w:t>
      </w:r>
    </w:p>
    <w:p>
      <w:pPr>
        <w:pBdr>
          <w:top w:val="single" w:color="F2E1D8" w:sz="2" w:space="8"/>
          <w:bottom w:val="single" w:color="F2E1D8" w:sz="2" w:space="8"/>
          <w:left w:val="single" w:color="B2543B" w:sz="18" w:space="10"/>
          <w:right w:val="single" w:color="F2E1D8" w:sz="2" w:space="8"/>
        </w:pBdr>
        <w:shd w:fill="F2E1D8" w:color="auto" w:val="clear"/>
        <w:spacing w:after="200" w:before="160" w:line="276"/>
        <w:ind w:left="172" w:right="172"/>
      </w:pPr>
      <w:r>
        <w:rPr>
          <w:b/>
          <w:bCs/>
        </w:rPr>
        <w:t xml:space="preserve">Your super probably does not pass under your will.</w:t>
      </w:r>
      <w:r>
        <w:t xml:space="preserve"> It is paid at the trustee’s discretion unless there is a valid binding death benefit nomination — and a lapsing binding nomination runs three years from the day it was signed, then quietly expires. Because most Australian households hold the bulk of their wealth in super, this single item is often worth more than everything the will actually controls.</w:t>
      </w:r>
    </w:p>
    <w:p>
      <w:pPr>
        <w:spacing w:after="140" w:line="276"/>
      </w:pPr>
      <w:r>
        <w:t xml:space="preserve">The action is small: ring each fund and ask two questions — </w:t>
      </w:r>
      <w:r>
        <w:rPr>
          <w:i/>
          <w:iCs/>
        </w:rPr>
        <w:t xml:space="preserve">is there a nomination, and when was it made?</w:t>
      </w:r>
      <w:r>
        <w:t xml:space="preserve"> Record both. The </w:t>
      </w:r>
      <w:r>
        <w:rPr>
          <w:b/>
          <w:bCs/>
        </w:rPr>
        <w:t xml:space="preserve">If something happened</w:t>
      </w:r>
      <w:r>
        <w:t xml:space="preserve"> tab lists every super account from your balance sheet automatically and works out how long ago each nomination was signed.</w:t>
      </w:r>
    </w:p>
    <w:p>
      <w:pPr>
        <w:spacing w:after="200" w:before="60" w:line="260"/>
      </w:pPr>
      <w:r>
        <w:rPr>
          <w:i/>
          <w:iCs/>
          <w:color w:val="6B6258"/>
          <w:sz w:val="19"/>
          <w:szCs w:val="19"/>
        </w:rPr>
        <w:t xml:space="preserve">Whether a nomination suits you, and who it should name, is a question for a licensed adviser or a solicitor — the tax treatment differs depending on who receives it.</w:t>
      </w:r>
    </w:p>
    <w:p>
      <w:pPr>
        <w:pStyle w:val="Heading2"/>
        <w:keepNext/>
        <w:spacing w:after="120" w:before="300"/>
      </w:pPr>
      <w:r>
        <w:rPr>
          <w:rFonts w:ascii="Cambria" w:cs="Cambria" w:eastAsia="Cambria" w:hAnsi="Cambria"/>
          <w:b/>
          <w:bCs/>
          <w:color w:val="26221E"/>
          <w:sz w:val="26"/>
          <w:szCs w:val="26"/>
        </w:rPr>
        <w:t xml:space="preserve">What the “If something happened” tab records</w:t>
      </w:r>
    </w:p>
    <w:p>
      <w:pPr>
        <w:spacing w:after="140" w:line="276"/>
      </w:pPr>
      <w:r>
        <w:t xml:space="preserve">One page recording where things are and who acts — deliberately </w:t>
      </w:r>
      <w:r>
        <w:rPr>
          <w:i/>
          <w:iCs/>
        </w:rPr>
        <w:t xml:space="preserve">not</w:t>
      </w:r>
      <w:r>
        <w:t xml:space="preserve"> what they are worth. The balance sheet already prints the figures, and a list of balances is useful to a thief as well as to a family.</w:t>
      </w:r>
    </w:p>
    <w:p>
      <w:pPr>
        <w:pStyle w:val="ListParagraph"/>
        <w:numPr>
          <w:ilvl w:val="0"/>
          <w:numId w:val="3"/>
        </w:numPr>
        <w:spacing w:after="80" w:line="270"/>
      </w:pPr>
      <w:r>
        <w:t xml:space="preserve">Where each will is kept, who the executor is, and when it was made.</w:t>
      </w:r>
    </w:p>
    <w:p>
      <w:pPr>
        <w:pStyle w:val="ListParagraph"/>
        <w:numPr>
          <w:ilvl w:val="0"/>
          <w:numId w:val="3"/>
        </w:numPr>
        <w:spacing w:after="80" w:line="270"/>
      </w:pPr>
      <w:r>
        <w:t xml:space="preserve">Whether each adult has an enduring financial and medical appointment, and who holds it.</w:t>
      </w:r>
    </w:p>
    <w:p>
      <w:pPr>
        <w:pStyle w:val="ListParagraph"/>
        <w:numPr>
          <w:ilvl w:val="0"/>
          <w:numId w:val="3"/>
        </w:numPr>
        <w:spacing w:after="80" w:line="270"/>
      </w:pPr>
      <w:r>
        <w:t xml:space="preserve">Whether each super account has a death benefit nomination, and its date.</w:t>
      </w:r>
    </w:p>
    <w:p>
      <w:pPr>
        <w:pStyle w:val="ListParagraph"/>
        <w:numPr>
          <w:ilvl w:val="0"/>
          <w:numId w:val="3"/>
        </w:numPr>
        <w:spacing w:after="80" w:line="270"/>
      </w:pPr>
      <w:r>
        <w:rPr>
          <w:b/>
          <w:bCs/>
        </w:rPr>
        <w:t xml:space="preserve">What exists, and where</w:t>
      </w:r>
      <w:r>
        <w:t xml:space="preserve"> — every account and debt from your balance sheet, with a line to name the bank, fund or insurer against each one.</w:t>
      </w:r>
    </w:p>
    <w:p>
      <w:pPr>
        <w:spacing w:after="60"/>
      </w:pPr>
    </w:p>
    <w:p>
      <w:pPr>
        <w:spacing w:after="140" w:line="276"/>
      </w:pPr>
      <w:r>
        <w:t xml:space="preserve">The app never judges the document. It stores what you tell it and works out one thing: how long ago you told it. There is also no completeness score, on purpose — a score invites you to improve the number rather than ring the fund. A household that has deliberately decided against a document has recorded that just as completely as one that has it.</w:t>
      </w:r>
    </w:p>
    <w:p>
      <w:pPr>
        <w:pStyle w:val="Heading2"/>
        <w:keepNext/>
        <w:spacing w:after="120" w:before="300"/>
      </w:pPr>
      <w:r>
        <w:rPr>
          <w:rFonts w:ascii="Cambria" w:cs="Cambria" w:eastAsia="Cambria" w:hAnsi="Cambria"/>
          <w:b/>
          <w:bCs/>
          <w:color w:val="26221E"/>
          <w:sz w:val="26"/>
          <w:szCs w:val="26"/>
        </w:rPr>
        <w:t xml:space="preserve">What never goes on that page</w:t>
      </w:r>
    </w:p>
    <w:p>
      <w:pPr>
        <w:pBdr>
          <w:top w:val="single" w:color="E9F0EC" w:sz="2" w:space="8"/>
          <w:bottom w:val="single" w:color="E9F0EC" w:sz="2" w:space="8"/>
          <w:left w:val="single" w:color="2F6B57" w:sz="18" w:space="10"/>
          <w:right w:val="single" w:color="E9F0EC" w:sz="2" w:space="8"/>
        </w:pBdr>
        <w:shd w:fill="E9F0EC" w:color="auto" w:val="clear"/>
        <w:spacing w:after="200" w:before="160" w:line="276"/>
        <w:ind w:left="172" w:right="172"/>
      </w:pPr>
      <w:r>
        <w:rPr>
          <w:b/>
          <w:bCs/>
        </w:rPr>
        <w:t xml:space="preserve">Record the pointer, never the contents.</w:t>
      </w:r>
      <w:r>
        <w:t xml:space="preserve"> This file has no password on it and the page is meant to be printed. </w:t>
      </w:r>
      <w:r>
        <w:rPr>
          <w:b/>
          <w:bCs/>
        </w:rPr>
        <w:t xml:space="preserve">No</w:t>
      </w:r>
      <w:r>
        <w:t xml:space="preserve"> account, member or policy numbers — the institution’s name is enough for an executor to start. </w:t>
      </w:r>
      <w:r>
        <w:rPr>
          <w:b/>
          <w:bCs/>
        </w:rPr>
        <w:t xml:space="preserve">No</w:t>
      </w:r>
      <w:r>
        <w:t xml:space="preserve"> passwords, PINs, logins or recovery codes. </w:t>
      </w:r>
      <w:r>
        <w:rPr>
          <w:b/>
          <w:bCs/>
        </w:rPr>
        <w:t xml:space="preserve">No</w:t>
      </w:r>
      <w:r>
        <w:t xml:space="preserve"> safe combinations or key hiding places: </w:t>
      </w:r>
      <w:r>
        <w:rPr>
          <w:i/>
          <w:iCs/>
        </w:rPr>
        <w:t xml:space="preserve">“with our solicitor”</w:t>
      </w:r>
      <w:r>
        <w:t xml:space="preserve"> is a location; </w:t>
      </w:r>
      <w:r>
        <w:rPr>
          <w:i/>
          <w:iCs/>
        </w:rPr>
        <w:t xml:space="preserve">“taped under the third drawer”</w:t>
      </w:r>
      <w:r>
        <w:t xml:space="preserve"> is an invitation. And </w:t>
      </w:r>
      <w:r>
        <w:rPr>
          <w:b/>
          <w:bCs/>
        </w:rPr>
        <w:t xml:space="preserve">not the contents of the will</w:t>
      </w:r>
      <w:r>
        <w:t xml:space="preserve"> — putting a second version anywhere else only creates an argument.</w:t>
      </w:r>
    </w:p>
    <w:p>
      <w:pPr>
        <w:pStyle w:val="Heading2"/>
        <w:keepNext/>
        <w:spacing w:after="120" w:before="300"/>
      </w:pPr>
      <w:r>
        <w:rPr>
          <w:rFonts w:ascii="Cambria" w:cs="Cambria" w:eastAsia="Cambria" w:hAnsi="Cambria"/>
          <w:b/>
          <w:bCs/>
          <w:color w:val="26221E"/>
          <w:sz w:val="26"/>
          <w:szCs w:val="26"/>
        </w:rPr>
        <w:t xml:space="preserve">Four things worth doing beyond the documents</w:t>
      </w:r>
    </w:p>
    <w:p>
      <w:pPr>
        <w:pStyle w:val="Heading3"/>
        <w:keepNext/>
        <w:spacing w:after="90" w:before="220"/>
      </w:pPr>
      <w:r>
        <w:rPr>
          <w:rFonts w:ascii="Calibri" w:cs="Calibri" w:eastAsia="Calibri" w:hAnsi="Calibri"/>
          <w:b/>
          <w:bCs/>
          <w:color w:val="41607C"/>
          <w:sz w:val="21"/>
          <w:szCs w:val="21"/>
        </w:rPr>
        <w:t xml:space="preserve">1. Make the list of what exists</w:t>
      </w:r>
    </w:p>
    <w:p>
      <w:pPr>
        <w:spacing w:after="140" w:line="276"/>
      </w:pPr>
      <w:r>
        <w:t xml:space="preserve">Not the balances — the accounts themselves. Which bank, which super fund, which insurer, which utility, which subscriptions that will keep charging a dead person’s card. Executors routinely spend months discovering things one page could have told them in an afternoon, and unknown accounts are the commonest cause of delay in settling a small estate. Print it, keep it with the will, update it once a year.</w:t>
      </w:r>
    </w:p>
    <w:p>
      <w:pPr>
        <w:pStyle w:val="Heading3"/>
        <w:keepNext/>
        <w:spacing w:after="90" w:before="220"/>
      </w:pPr>
      <w:r>
        <w:rPr>
          <w:rFonts w:ascii="Calibri" w:cs="Calibri" w:eastAsia="Calibri" w:hAnsi="Calibri"/>
          <w:b/>
          <w:bCs/>
          <w:color w:val="41607C"/>
          <w:sz w:val="21"/>
          <w:szCs w:val="21"/>
        </w:rPr>
        <w:t xml:space="preserve">2. Write the letter the will cannot</w:t>
      </w:r>
    </w:p>
    <w:p>
      <w:pPr>
        <w:spacing w:after="140" w:line="276"/>
      </w:pPr>
      <w:r>
        <w:t xml:space="preserve">A will says who gets what. It cannot say </w:t>
      </w:r>
      <w:r>
        <w:rPr>
          <w:i/>
          <w:iCs/>
        </w:rPr>
        <w:t xml:space="preserve">why</w:t>
      </w:r>
      <w:r>
        <w:t xml:space="preserve"> — and the why is what families argue about. A short letter kept with the will, explaining the reasoning behind an uneven split, why one child received help earlier, or simply what you hoped the money would do, prevents more conflict than any clause a solicitor can draft. It is not a legal document and does not need to be.</w:t>
      </w:r>
    </w:p>
    <w:p>
      <w:pPr>
        <w:spacing w:after="200" w:before="60" w:line="260"/>
      </w:pPr>
      <w:r>
        <w:rPr>
          <w:i/>
          <w:iCs/>
          <w:color w:val="6B6258"/>
          <w:sz w:val="19"/>
          <w:szCs w:val="19"/>
        </w:rPr>
        <w:t xml:space="preserve">Keep it with the will, not inside it — a letter tucked into a will can raise questions about whether the will was altered. Your solicitor can tell you how to store it properly.</w:t>
      </w:r>
    </w:p>
    <w:p>
      <w:pPr>
        <w:pStyle w:val="Heading3"/>
        <w:keepNext/>
        <w:spacing w:after="90" w:before="220"/>
      </w:pPr>
      <w:r>
        <w:rPr>
          <w:rFonts w:ascii="Calibri" w:cs="Calibri" w:eastAsia="Calibri" w:hAnsi="Calibri"/>
          <w:b/>
          <w:bCs/>
          <w:color w:val="41607C"/>
          <w:sz w:val="21"/>
          <w:szCs w:val="21"/>
        </w:rPr>
        <w:t xml:space="preserve">3. Ask whether the other one could manage next fortnight</w:t>
      </w:r>
    </w:p>
    <w:p>
      <w:pPr>
        <w:spacing w:after="140" w:line="276"/>
      </w:pPr>
      <w:r>
        <w:t xml:space="preserve">Not in a year — next fortnight. If the person who runs the money were suddenly unavailable, could the other pay the mortgage, find the insurer, log in to the bank, and know which bills are about to arrive? This is a sharper question than </w:t>
      </w:r>
      <w:r>
        <w:rPr>
          <w:i/>
          <w:iCs/>
        </w:rPr>
        <w:t xml:space="preserve">“does everyone know where things are”</w:t>
      </w:r>
      <w:r>
        <w:t xml:space="preserve">, and the honest answer in most households is no. Do it while it is a dull afternoon’s task rather than an emergency.</w:t>
      </w:r>
    </w:p>
    <w:p>
      <w:pPr>
        <w:pStyle w:val="Heading3"/>
        <w:keepNext/>
        <w:spacing w:after="90" w:before="220"/>
      </w:pPr>
      <w:r>
        <w:rPr>
          <w:rFonts w:ascii="Calibri" w:cs="Calibri" w:eastAsia="Calibri" w:hAnsi="Calibri"/>
          <w:b/>
          <w:bCs/>
          <w:color w:val="41607C"/>
          <w:sz w:val="21"/>
          <w:szCs w:val="21"/>
        </w:rPr>
        <w:t xml:space="preserve">4. Ask what the survivor would actually live on</w:t>
      </w:r>
    </w:p>
    <w:p>
      <w:pPr>
        <w:spacing w:after="140" w:line="276"/>
      </w:pPr>
      <w:r>
        <w:t xml:space="preserve">The hardest conversation, and the one most often postponed. A defined benefit that reverts at 67%, a mortgage that continues, insurance that may or may not exist — the arithmetic is knowable, and knowing it is kinder than not. On the Retirement tab, enter the reversion percentage and, when you are ready, a modelled year: the schedule shows exactly what would be paid, to whom, and until when.</w:t>
      </w:r>
    </w:p>
    <w:p>
      <w:pPr>
        <w:pStyle w:val="Heading2"/>
        <w:keepNext/>
        <w:spacing w:after="120" w:before="300"/>
      </w:pPr>
      <w:r>
        <w:rPr>
          <w:rFonts w:ascii="Cambria" w:cs="Cambria" w:eastAsia="Cambria" w:hAnsi="Cambria"/>
          <w:b/>
          <w:bCs/>
          <w:color w:val="26221E"/>
          <w:sz w:val="26"/>
          <w:szCs w:val="26"/>
        </w:rPr>
        <w:t xml:space="preserve">When to review</w:t>
      </w:r>
    </w:p>
    <w:p>
      <w:pPr>
        <w:spacing w:after="140" w:line="276"/>
      </w:pPr>
      <w:r>
        <w:t xml:space="preserve">Marriage, separation, a birth, a death, buying a house, starting a business. Any of these can make an existing will wrong or, in some states, revoke it entirely. Whenever the household changes on the Family details tab, that is your prompt — and the app says so.</w:t>
      </w:r>
    </w:p>
    <w:p>
      <w:pPr>
        <w:spacing w:after="140" w:line="276"/>
      </w:pPr>
      <w:r>
        <w:rPr>
          <w:b/>
          <w:bCs/>
        </w:rPr>
        <w:t xml:space="preserve">Where to get it done:</w:t>
      </w:r>
      <w:r>
        <w:t xml:space="preserve"> a solicitor, or your state’s public trustee, for the will and the enduring appointments. Your super fund, direct, for a nomination — the form is theirs and it costs nothing. A licensed adviser or solicitor for whether a nomination suits you and who it should name.</w:t>
      </w:r>
    </w:p>
    <w:p>
      <w:pPr>
        <w:spacing w:after="200" w:before="60" w:line="260"/>
      </w:pPr>
      <w:r>
        <w:rPr>
          <w:i/>
          <w:iCs/>
          <w:color w:val="6B6258"/>
          <w:sz w:val="19"/>
          <w:szCs w:val="19"/>
        </w:rPr>
        <w:t xml:space="preserve">If you use a digital vault service, choose one that can outlive you: the ones worth using verify a death independently rather than taking a relative’s word, allow more than one trusted person to gain access, and can tell you what happens to your material if the company ceases trading. Whatever you use, tell the people who would need it that it exists. A vault nobody knows about is no better than a drawer nobody opens.</w:t>
      </w: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15 · The household year</w:t>
      </w:r>
    </w:p>
    <w:p>
      <w:pPr>
        <w:spacing w:after="220" w:line="290"/>
      </w:pPr>
      <w:r>
        <w:rPr>
          <w:i/>
          <w:iCs/>
          <w:color w:val="6B6258"/>
          <w:sz w:val="23"/>
          <w:szCs w:val="23"/>
        </w:rPr>
        <w:t xml:space="preserve">Everything in this handbook, arranged as a calendar. Four dates and one afternoon a year is enough to keep a household in good order.</w:t>
      </w:r>
    </w:p>
    <w:p>
      <w:pPr>
        <w:spacing w:after="140" w:line="276"/>
      </w:pPr>
      <w:r>
        <w:t xml:space="preserve">The reason financial admin fails is almost never that it is hard. It is that nothing triggers it. A budget reviewed when someone remembers is a budget reviewed twice and then never. So put these in the calendar as recurring appointments, with the app open.</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246"/>
        <w:gridCol w:w="5429"/>
        <w:gridCol w:w="1685"/>
      </w:tblGrid>
      <w:tr>
        <w:trPr>
          <w:tblHeader/>
        </w:trPr>
        <w:tc>
          <w:tcPr>
            <w:tcW w:type="dxa" w:w="2246"/>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When</w:t>
            </w:r>
          </w:p>
        </w:tc>
        <w:tc>
          <w:tcPr>
            <w:tcW w:type="dxa" w:w="5429"/>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w:t>
            </w:r>
          </w:p>
        </w:tc>
        <w:tc>
          <w:tcPr>
            <w:tcW w:type="dxa" w:w="1685"/>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How long</w:t>
            </w:r>
          </w:p>
        </w:tc>
      </w:tr>
      <w:tr>
        <w:tc>
          <w:tcPr>
            <w:tcW w:type="dxa" w:w="2246"/>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Each pay period</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Log spending, press </w:t>
            </w:r>
            <w:r>
              <w:rPr>
                <w:rFonts w:ascii="Calibri" w:cs="Calibri" w:eastAsia="Calibri" w:hAnsi="Calibri"/>
                <w:b/>
                <w:bCs/>
                <w:color w:val="26221E"/>
                <w:sz w:val="21"/>
                <w:szCs w:val="21"/>
              </w:rPr>
              <w:t xml:space="preserve">Close period</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Five minutes</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Quarterly</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Budget review with both adults, period set to </w:t>
            </w:r>
            <w:r>
              <w:rPr>
                <w:rFonts w:ascii="Calibri" w:cs="Calibri" w:eastAsia="Calibri" w:hAnsi="Calibri"/>
                <w:b/>
                <w:bCs/>
                <w:color w:val="26221E"/>
                <w:sz w:val="21"/>
                <w:szCs w:val="21"/>
              </w:rPr>
              <w:t xml:space="preserve">Year</w:t>
            </w:r>
            <w:r>
              <w:rPr>
                <w:rFonts w:ascii="Calibri" w:cs="Calibri" w:eastAsia="Calibri" w:hAnsi="Calibri"/>
                <w:b w:val="false"/>
                <w:bCs w:val="false"/>
                <w:color w:val="26221E"/>
                <w:sz w:val="21"/>
                <w:szCs w:val="21"/>
              </w:rPr>
              <w:t xml:space="preserve">. Compare against last quarter</w:t>
            </w:r>
          </w:p>
        </w:tc>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Forty minutes</w:t>
            </w:r>
          </w:p>
        </w:tc>
      </w:tr>
      <w:tr>
        <w:tc>
          <w:tcPr>
            <w:tcW w:type="dxa" w:w="2246"/>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March, July, September</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Check Services Australia rates if anyone is near or in retirement</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Ten minutes</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1 June</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HELP indexation applies. Any voluntary payment must land before this</w:t>
            </w:r>
          </w:p>
        </w:tc>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t>
            </w:r>
          </w:p>
        </w:tc>
      </w:tr>
      <w:tr>
        <w:tc>
          <w:tcPr>
            <w:tcW w:type="dxa" w:w="2246"/>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Around 30 June</w:t>
            </w:r>
          </w:p>
        </w:tc>
        <w:tc>
          <w:tcPr>
            <w:tcW w:type="dxa" w:w="5429"/>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The annual afternoon</w:t>
            </w:r>
            <w:r>
              <w:rPr>
                <w:rFonts w:ascii="Calibri" w:cs="Calibri" w:eastAsia="Calibri" w:hAnsi="Calibri"/>
                <w:b w:val="false"/>
                <w:bCs w:val="false"/>
                <w:color w:val="26221E"/>
                <w:sz w:val="21"/>
                <w:szCs w:val="21"/>
              </w:rPr>
              <w:t xml:space="preserve"> — see below</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Two hours</w:t>
            </w:r>
          </w:p>
        </w:tc>
      </w:tr>
      <w:tr>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When income changes</w:t>
            </w:r>
          </w:p>
        </w:tc>
        <w:tc>
          <w:tcPr>
            <w:tcW w:type="dxa" w:w="5429"/>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Redirect the rise to an envelope before the first pay arrives at the new rate</w:t>
            </w:r>
          </w:p>
        </w:tc>
        <w:tc>
          <w:tcPr>
            <w:tcW w:type="dxa" w:w="1685"/>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Two minutes</w:t>
            </w:r>
          </w:p>
        </w:tc>
      </w:tr>
      <w:tr>
        <w:tc>
          <w:tcPr>
            <w:tcW w:type="dxa" w:w="2246"/>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When the household changes</w:t>
            </w:r>
          </w:p>
        </w:tc>
        <w:tc>
          <w:tcPr>
            <w:tcW w:type="dxa" w:w="5429"/>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birth, death, marriage, separation, house or business — review the wills</w:t>
            </w:r>
          </w:p>
        </w:tc>
        <w:tc>
          <w:tcPr>
            <w:tcW w:type="dxa" w:w="1685"/>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phone call</w:t>
            </w:r>
          </w:p>
        </w:tc>
      </w:tr>
    </w:tbl>
    <w:p>
      <w:pPr>
        <w:spacing w:after="200"/>
      </w:pPr>
    </w:p>
    <w:p>
      <w:pPr>
        <w:pStyle w:val="Heading2"/>
        <w:keepNext/>
        <w:spacing w:after="120" w:before="300"/>
      </w:pPr>
      <w:r>
        <w:rPr>
          <w:rFonts w:ascii="Cambria" w:cs="Cambria" w:eastAsia="Cambria" w:hAnsi="Cambria"/>
          <w:b/>
          <w:bCs/>
          <w:color w:val="26221E"/>
          <w:sz w:val="26"/>
          <w:szCs w:val="26"/>
        </w:rPr>
        <w:t xml:space="preserve">The annual afternoon</w:t>
      </w:r>
    </w:p>
    <w:p>
      <w:pPr>
        <w:spacing w:after="140" w:line="276"/>
      </w:pPr>
      <w:r>
        <w:t xml:space="preserve">One afternoon a year, ideally near 30 June so the comparison is consistent, do all of this in order:</w:t>
      </w:r>
    </w:p>
    <w:p>
      <w:pPr>
        <w:pStyle w:val="ListParagraph"/>
        <w:numPr>
          <w:ilvl w:val="0"/>
          <w:numId w:val="2"/>
        </w:numPr>
        <w:spacing w:after="80" w:line="270"/>
      </w:pPr>
      <w:r>
        <w:rPr>
          <w:b/>
          <w:bCs/>
        </w:rPr>
        <w:t xml:space="preserve">Update the balance sheet.</w:t>
      </w:r>
      <w:r>
        <w:t xml:space="preserve"> Every asset, every debt, at honest values. Compare net worth with last year and ask </w:t>
      </w:r>
      <w:r>
        <w:rPr>
          <w:i/>
          <w:iCs/>
        </w:rPr>
        <w:t xml:space="preserve">why</w:t>
      </w:r>
      <w:r>
        <w:t xml:space="preserve"> it moved.</w:t>
      </w:r>
    </w:p>
    <w:p>
      <w:pPr>
        <w:pStyle w:val="ListParagraph"/>
        <w:numPr>
          <w:ilvl w:val="0"/>
          <w:numId w:val="2"/>
        </w:numPr>
        <w:spacing w:after="80" w:line="270"/>
      </w:pPr>
      <w:r>
        <w:rPr>
          <w:b/>
          <w:bCs/>
        </w:rPr>
        <w:t xml:space="preserve">Rebuild the budget in Year view.</w:t>
      </w:r>
      <w:r>
        <w:t xml:space="preserve"> Press the commonly forgotten bills list. Compare this year’s envelope total with last year’s, and both against what you were paid — that difference is the creep.</w:t>
      </w:r>
    </w:p>
    <w:p>
      <w:pPr>
        <w:pStyle w:val="ListParagraph"/>
        <w:numPr>
          <w:ilvl w:val="0"/>
          <w:numId w:val="2"/>
        </w:numPr>
        <w:spacing w:after="80" w:line="270"/>
      </w:pPr>
      <w:r>
        <w:rPr>
          <w:b/>
          <w:bCs/>
        </w:rPr>
        <w:t xml:space="preserve">Check the tax table</w:t>
      </w:r>
      <w:r>
        <w:t xml:space="preserve"> on the Income &amp; tax tab against the current ATO figures, and update if they have moved.</w:t>
      </w:r>
    </w:p>
    <w:p>
      <w:pPr>
        <w:pStyle w:val="ListParagraph"/>
        <w:numPr>
          <w:ilvl w:val="0"/>
          <w:numId w:val="2"/>
        </w:numPr>
        <w:spacing w:after="80" w:line="270"/>
      </w:pPr>
      <w:r>
        <w:rPr>
          <w:b/>
          <w:bCs/>
        </w:rPr>
        <w:t xml:space="preserve">Re-read the assumptions</w:t>
      </w:r>
      <w:r>
        <w:t xml:space="preserve"> and run the </w:t>
      </w:r>
      <w:r>
        <w:rPr>
          <w:i/>
          <w:iCs/>
        </w:rPr>
        <w:t xml:space="preserve">What if you are wrong?</w:t>
      </w:r>
      <w:r>
        <w:t xml:space="preserve"> stress test.</w:t>
      </w:r>
    </w:p>
    <w:p>
      <w:pPr>
        <w:pStyle w:val="ListParagraph"/>
        <w:numPr>
          <w:ilvl w:val="0"/>
          <w:numId w:val="2"/>
        </w:numPr>
        <w:spacing w:after="80" w:line="270"/>
      </w:pPr>
      <w:r>
        <w:rPr>
          <w:b/>
          <w:bCs/>
        </w:rPr>
        <w:t xml:space="preserve">Print the If something happened page</w:t>
      </w:r>
      <w:r>
        <w:t xml:space="preserve"> and replace the copy kept with the will.</w:t>
      </w:r>
    </w:p>
    <w:p>
      <w:pPr>
        <w:pStyle w:val="ListParagraph"/>
        <w:numPr>
          <w:ilvl w:val="0"/>
          <w:numId w:val="2"/>
        </w:numPr>
        <w:spacing w:after="80" w:line="270"/>
      </w:pPr>
      <w:r>
        <w:rPr>
          <w:b/>
          <w:bCs/>
        </w:rPr>
        <w:t xml:space="preserve">Go through the Scams and fraud setup page.</w:t>
      </w:r>
      <w:r>
        <w:t xml:space="preserve"> Extend the credit ban if it is running. Say the verification question out loud.</w:t>
      </w:r>
    </w:p>
    <w:p>
      <w:pPr>
        <w:pStyle w:val="ListParagraph"/>
        <w:numPr>
          <w:ilvl w:val="0"/>
          <w:numId w:val="2"/>
        </w:numPr>
        <w:spacing w:after="80" w:line="270"/>
      </w:pPr>
      <w:r>
        <w:rPr>
          <w:b/>
          <w:bCs/>
        </w:rPr>
        <w:t xml:space="preserve">Review one insurance policy</w:t>
      </w:r>
      <w:r>
        <w:t xml:space="preserve"> properly, rather than all of them badly.</w:t>
      </w:r>
    </w:p>
    <w:p>
      <w:pPr>
        <w:pStyle w:val="ListParagraph"/>
        <w:numPr>
          <w:ilvl w:val="0"/>
          <w:numId w:val="2"/>
        </w:numPr>
        <w:spacing w:after="80" w:line="270"/>
      </w:pPr>
      <w:r>
        <w:rPr>
          <w:b/>
          <w:bCs/>
        </w:rPr>
        <w:t xml:space="preserve">Press Backup</w:t>
      </w:r>
      <w:r>
        <w:t xml:space="preserve"> and put the file somewhere sensible. Then show the other adult where it is.</w:t>
      </w:r>
    </w:p>
    <w:p>
      <w:pPr>
        <w:spacing w:after="60"/>
      </w:pP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Glossary</w:t>
      </w:r>
    </w:p>
    <w:p>
      <w:pPr>
        <w:spacing w:after="220" w:line="290"/>
      </w:pPr>
      <w:r>
        <w:rPr>
          <w:i/>
          <w:iCs/>
          <w:color w:val="6B6258"/>
          <w:sz w:val="23"/>
          <w:szCs w:val="23"/>
        </w:rPr>
        <w:t xml:space="preserve">The words that come up, in plain language.</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527"/>
        <w:gridCol w:w="6833"/>
      </w:tblGrid>
      <w:tr>
        <w:trPr>
          <w:tblHeader/>
        </w:trPr>
        <w:tc>
          <w:tcPr>
            <w:tcW w:type="dxa" w:w="2527"/>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Term</w:t>
            </w:r>
          </w:p>
        </w:tc>
        <w:tc>
          <w:tcPr>
            <w:tcW w:type="dxa" w:w="6833"/>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it means</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Assets</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Everything the household owns — cash, super, property, vehicles, investments</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Liabilities</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Everything the household owes — mortgage, loans, cards, study debt</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Net worth (equity)</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Assets less liabilities. What is genuinely yours</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Envelope</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planned amount for one category of spending, entered at the frequency it really arrives</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Surplus</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Income no envelope has claimed. Reported, never assumed saved</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Take-home pay</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Gross salary less tax, Medicare levy, super sacrifice, deductions and any HELP repayment</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Salary sacrifice</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Money directed to super before tax, taxed at 15% in the fund instead of your marginal rate</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Concessional contribution</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before-tax super contribution — employer, sacrifice, or personal deductible. Capped annually</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Non-concessional contribution</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An after-tax super contribution, from money already taxed</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Preservation age</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age super becomes accessible on retirement — 60 for anyone retiring now</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Account-based pension</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regular income stream drawn from a super balance, with an age-based minimum each year</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Defined benefit pension</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pension paid for life from a scheme, indexed, with no lump-sum balance behind it</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Reversion</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percentage of a defined benefit pension that continues to a surviving spouse</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Deeming</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Age Pension income test assumes a rate of return on financial assets rather than counting the real one</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Free area</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level of assets or income below which the full Age Pension is payable</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Binding death benefit nomination</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valid instruction to a super fund about who receives your super. Often lapses after three years</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Enduring power of attorney</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Authority for someone to act on your financial affairs if you cannot. State-based</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Executor</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person who administers your estate under your will</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Indexation (HELP)</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annual 1 June increase to a study loan, at the lower of price or wage growth. Not interest</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Offset account</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An account whose balance reduces the interest charged on a linked loan, while remaining available</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Amortisation</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way a loan’s repayments shift from mostly interest to mostly principal over its life</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Today’s dollars</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Figures with inflation stripped out, comparable with what money buys now</w:t>
            </w:r>
          </w:p>
        </w:tc>
      </w:tr>
      <w:tr>
        <w:tc>
          <w:tcPr>
            <w:tcW w:type="dxa" w:w="2527"/>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Hedonic adaptation</w:t>
            </w:r>
          </w:p>
        </w:tc>
        <w:tc>
          <w:tcPr>
            <w:tcW w:type="dxa" w:w="6833"/>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tendency to adjust to a higher income within weeks and spend the difference</w:t>
            </w:r>
          </w:p>
        </w:tc>
      </w:tr>
      <w:tr>
        <w:tc>
          <w:tcPr>
            <w:tcW w:type="dxa" w:w="2527"/>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Diderot effect</w:t>
            </w:r>
          </w:p>
        </w:tc>
        <w:tc>
          <w:tcPr>
            <w:tcW w:type="dxa" w:w="6833"/>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The way one purchase pulls further purchases behind it</w:t>
            </w:r>
          </w:p>
        </w:tc>
      </w:tr>
    </w:tbl>
    <w:p>
      <w:pPr>
        <w:spacing w:after="200"/>
      </w:pPr>
    </w:p>
    <w:p>
      <w:pPr>
        <w:pStyle w:val="Heading1"/>
        <w:pageBreakBefore/>
        <w:pBdr>
          <w:bottom w:val="single" w:color="DBCFB6" w:sz="10" w:space="6"/>
        </w:pBdr>
        <w:spacing w:after="180" w:before="0"/>
      </w:pPr>
      <w:r>
        <w:rPr>
          <w:rFonts w:ascii="Cambria" w:cs="Cambria" w:eastAsia="Cambria" w:hAnsi="Cambria"/>
          <w:b/>
          <w:bCs/>
          <w:color w:val="2F6B57"/>
          <w:sz w:val="34"/>
          <w:szCs w:val="34"/>
        </w:rPr>
        <w:t xml:space="preserve">Where to get help</w:t>
      </w:r>
    </w:p>
    <w:p>
      <w:pPr>
        <w:spacing w:after="220" w:line="290"/>
      </w:pPr>
      <w:r>
        <w:rPr>
          <w:i/>
          <w:iCs/>
          <w:color w:val="6B6258"/>
          <w:sz w:val="23"/>
          <w:szCs w:val="23"/>
        </w:rPr>
        <w:t xml:space="preserve">Free and independent first, then paid. Every one of these is worth knowing about before you need it.</w:t>
      </w:r>
    </w:p>
    <w:p>
      <w:pPr>
        <w:pStyle w:val="Heading2"/>
        <w:keepNext/>
        <w:spacing w:after="120" w:before="300"/>
      </w:pPr>
      <w:r>
        <w:rPr>
          <w:rFonts w:ascii="Cambria" w:cs="Cambria" w:eastAsia="Cambria" w:hAnsi="Cambria"/>
          <w:b/>
          <w:bCs/>
          <w:color w:val="26221E"/>
          <w:sz w:val="26"/>
          <w:szCs w:val="26"/>
        </w:rPr>
        <w:t xml:space="preserve">Free and independent</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2434"/>
        <w:gridCol w:w="4680"/>
        <w:gridCol w:w="2246"/>
      </w:tblGrid>
      <w:tr>
        <w:trPr>
          <w:tblHeader/>
        </w:trPr>
        <w:tc>
          <w:tcPr>
            <w:tcW w:type="dxa" w:w="2434"/>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Service</w:t>
            </w:r>
          </w:p>
        </w:tc>
        <w:tc>
          <w:tcPr>
            <w:tcW w:type="dxa" w:w="4680"/>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What it is for</w:t>
            </w:r>
          </w:p>
        </w:tc>
        <w:tc>
          <w:tcPr>
            <w:tcW w:type="dxa" w:w="2246"/>
            <w:shd w:fill="2F6B57"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Contact</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National Debt Helpline</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Free, confidential financial counselling. Not only for crises</w:t>
            </w:r>
          </w:p>
        </w:tc>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1800 007 007</w:t>
            </w:r>
          </w:p>
        </w:tc>
      </w:tr>
      <w:tr>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Financial Information Service</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Services Australia. Free, independent information on pensions and payments</w:t>
            </w:r>
          </w:p>
        </w:tc>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servicesaustralia.gov.au</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Scamwatch</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Report a scam; current scam alerts</w:t>
            </w:r>
          </w:p>
        </w:tc>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scamwatch.gov.au</w:t>
            </w:r>
          </w:p>
        </w:tc>
      </w:tr>
      <w:tr>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ReportCyber</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Official police report for cybercrime</w:t>
            </w:r>
          </w:p>
        </w:tc>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cyber.gov.au</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IDCARE</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Identity theft support and recovery plans</w:t>
            </w:r>
          </w:p>
        </w:tc>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1800 595 160</w:t>
            </w:r>
          </w:p>
        </w:tc>
      </w:tr>
      <w:tr>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AFCA</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Complaints about how a bank, insurer or fund responded</w:t>
            </w:r>
          </w:p>
        </w:tc>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afca.org.au</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Equifax / Experian</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Credit reports and credit bans</w:t>
            </w:r>
          </w:p>
        </w:tc>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equifax.com.au · experian.com.au</w:t>
            </w:r>
          </w:p>
        </w:tc>
      </w:tr>
      <w:tr>
        <w:tc>
          <w:tcPr>
            <w:tcW w:type="dxa" w:w="2434"/>
            <w:shd w:fill="FCFAF3" w:color="auto" w:val="clear"/>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myGov / ATO</w:t>
            </w:r>
          </w:p>
        </w:tc>
        <w:tc>
          <w:tcPr>
            <w:tcW w:type="dxa" w:w="4680"/>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Your study loan balance, income statements, super accounts</w:t>
            </w:r>
          </w:p>
        </w:tc>
        <w:tc>
          <w:tcPr>
            <w:tcW w:type="dxa" w:w="2246"/>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my.gov.au</w:t>
            </w:r>
          </w:p>
        </w:tc>
      </w:tr>
      <w:tr>
        <w:tc>
          <w:tcPr>
            <w:tcW w:type="dxa" w:w="2434"/>
            <w:tcMar>
              <w:top w:type="dxa" w:w="80"/>
              <w:left w:type="dxa" w:w="110"/>
              <w:bottom w:type="dxa" w:w="80"/>
              <w:right w:type="dxa" w:w="110"/>
            </w:tcMar>
          </w:tcPr>
          <w:p>
            <w:pPr>
              <w:spacing w:after="0" w:line="250"/>
            </w:pPr>
            <w:r>
              <w:rPr>
                <w:rFonts w:ascii="Calibri" w:cs="Calibri" w:eastAsia="Calibri" w:hAnsi="Calibri"/>
                <w:b/>
                <w:bCs/>
                <w:color w:val="26221E"/>
                <w:sz w:val="21"/>
                <w:szCs w:val="21"/>
              </w:rPr>
              <w:t xml:space="preserve">Your state public trustee</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Wills and enduring appointments, often low-cost or free for older Australians</w:t>
            </w:r>
          </w:p>
        </w:tc>
        <w:tc>
          <w:tcPr>
            <w:tcW w:type="dxa" w:w="2246"/>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State-based</w:t>
            </w:r>
          </w:p>
        </w:tc>
      </w:tr>
    </w:tbl>
    <w:p>
      <w:pPr>
        <w:spacing w:after="200"/>
      </w:pPr>
    </w:p>
    <w:p>
      <w:pPr>
        <w:pStyle w:val="Heading2"/>
        <w:keepNext/>
        <w:spacing w:after="120" w:before="300"/>
      </w:pPr>
      <w:r>
        <w:rPr>
          <w:rFonts w:ascii="Cambria" w:cs="Cambria" w:eastAsia="Cambria" w:hAnsi="Cambria"/>
          <w:b/>
          <w:bCs/>
          <w:color w:val="26221E"/>
          <w:sz w:val="26"/>
          <w:szCs w:val="26"/>
        </w:rPr>
        <w:t xml:space="preserve">When to pay for advice</w:t>
      </w:r>
    </w:p>
    <w:tbl>
      <w:tblPr>
        <w:tblW w:type="dxa" w:w="9360"/>
        <w:tblBorders>
          <w:top w:val="single" w:color="DBCFB6" w:sz="2"/>
          <w:left w:val="single" w:color="DBCFB6" w:sz="2"/>
          <w:bottom w:val="single" w:color="DBCFB6" w:sz="2"/>
          <w:right w:val="single" w:color="DBCFB6" w:sz="2"/>
          <w:insideH w:val="single" w:color="DBCFB6" w:sz="2"/>
          <w:insideV w:val="single" w:color="DBCFB6" w:sz="2"/>
        </w:tblBorders>
      </w:tblPr>
      <w:tblGrid>
        <w:gridCol w:w="5148"/>
        <w:gridCol w:w="4212"/>
      </w:tblGrid>
      <w:tr>
        <w:trPr>
          <w:tblHeader/>
        </w:trPr>
        <w:tc>
          <w:tcPr>
            <w:tcW w:type="dxa" w:w="5148"/>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The question</w:t>
            </w:r>
          </w:p>
        </w:tc>
        <w:tc>
          <w:tcPr>
            <w:tcW w:type="dxa" w:w="4212"/>
            <w:shd w:fill="41607C" w:color="auto" w:val="clear"/>
            <w:tcMar>
              <w:top w:type="dxa" w:w="80"/>
              <w:left w:type="dxa" w:w="110"/>
              <w:bottom w:type="dxa" w:w="80"/>
              <w:right w:type="dxa" w:w="110"/>
            </w:tcMar>
          </w:tcPr>
          <w:p>
            <w:pPr>
              <w:spacing w:after="0" w:line="250"/>
            </w:pPr>
            <w:r>
              <w:rPr>
                <w:rFonts w:ascii="Calibri" w:cs="Calibri" w:eastAsia="Calibri" w:hAnsi="Calibri"/>
                <w:b/>
                <w:bCs/>
                <w:color w:val="FFFFFF"/>
                <w:sz w:val="21"/>
                <w:szCs w:val="21"/>
              </w:rPr>
              <w:t xml:space="preserve">Who to ask</w:t>
            </w:r>
          </w:p>
        </w:tc>
      </w:tr>
      <w:tr>
        <w:tc>
          <w:tcPr>
            <w:tcW w:type="dxa" w:w="514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Tax — deductions, structures, a return</w:t>
            </w:r>
          </w:p>
        </w:tc>
        <w:tc>
          <w:tcPr>
            <w:tcW w:type="dxa" w:w="421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registered tax agent or accountant</w:t>
            </w:r>
          </w:p>
        </w:tc>
      </w:tr>
      <w:tr>
        <w:tc>
          <w:tcPr>
            <w:tcW w:type="dxa" w:w="5148"/>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Strategy, products, insurance, super nominations, retirement structure</w:t>
            </w:r>
          </w:p>
        </w:tc>
        <w:tc>
          <w:tcPr>
            <w:tcW w:type="dxa" w:w="421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licensed financial adviser</w:t>
            </w:r>
          </w:p>
        </w:tc>
      </w:tr>
      <w:tr>
        <w:tc>
          <w:tcPr>
            <w:tcW w:type="dxa" w:w="514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Credit — borrowing capacity, refinancing, a new loan</w:t>
            </w:r>
          </w:p>
        </w:tc>
        <w:tc>
          <w:tcPr>
            <w:tcW w:type="dxa" w:w="421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mortgage broker, or your lender</w:t>
            </w:r>
          </w:p>
        </w:tc>
      </w:tr>
      <w:tr>
        <w:tc>
          <w:tcPr>
            <w:tcW w:type="dxa" w:w="5148"/>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Wills, powers of attorney, estate disputes</w:t>
            </w:r>
          </w:p>
        </w:tc>
        <w:tc>
          <w:tcPr>
            <w:tcW w:type="dxa" w:w="4212"/>
            <w:shd w:fill="FCFAF3" w:color="auto" w:val="clear"/>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solicitor, or your state trustee</w:t>
            </w:r>
          </w:p>
        </w:tc>
      </w:tr>
      <w:tr>
        <w:tc>
          <w:tcPr>
            <w:tcW w:type="dxa" w:w="5148"/>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Debt that has become unmanageable</w:t>
            </w:r>
          </w:p>
        </w:tc>
        <w:tc>
          <w:tcPr>
            <w:tcW w:type="dxa" w:w="4212"/>
            <w:tcMar>
              <w:top w:type="dxa" w:w="80"/>
              <w:left w:type="dxa" w:w="110"/>
              <w:bottom w:type="dxa" w:w="80"/>
              <w:right w:type="dxa" w:w="110"/>
            </w:tcMar>
          </w:tcPr>
          <w:p>
            <w:pPr>
              <w:spacing w:after="0" w:line="250"/>
            </w:pPr>
            <w:r>
              <w:rPr>
                <w:rFonts w:ascii="Calibri" w:cs="Calibri" w:eastAsia="Calibri" w:hAnsi="Calibri"/>
                <w:b w:val="false"/>
                <w:bCs w:val="false"/>
                <w:color w:val="26221E"/>
                <w:sz w:val="21"/>
                <w:szCs w:val="21"/>
              </w:rPr>
              <w:t xml:space="preserve">A financial counsellor — free (1800 007 007)</w:t>
            </w:r>
          </w:p>
        </w:tc>
      </w:tr>
    </w:tbl>
    <w:p>
      <w:pPr>
        <w:spacing w:after="200"/>
      </w:pPr>
    </w:p>
    <w:p>
      <w:pPr>
        <w:pStyle w:val="Heading2"/>
        <w:keepNext/>
        <w:spacing w:after="120" w:before="300"/>
      </w:pPr>
      <w:r>
        <w:rPr>
          <w:rFonts w:ascii="Cambria" w:cs="Cambria" w:eastAsia="Cambria" w:hAnsi="Cambria"/>
          <w:b/>
          <w:bCs/>
          <w:color w:val="26221E"/>
          <w:sz w:val="26"/>
          <w:szCs w:val="26"/>
        </w:rPr>
        <w:t xml:space="preserve">A closing word</w:t>
      </w:r>
    </w:p>
    <w:p>
      <w:pPr>
        <w:spacing w:after="140" w:line="276"/>
      </w:pPr>
      <w:r>
        <w:t xml:space="preserve">Nothing in this handbook requires you to be good with money. It requires a household to write down what it owns, what it owes and what the year costs; to give the money a job before it arrives; to spend half an hour on defences that keep working on a bad day; and to say out loud, once a year, where everything is kept.</w:t>
      </w:r>
    </w:p>
    <w:p>
      <w:pPr>
        <w:spacing w:after="140" w:line="276"/>
      </w:pPr>
      <w:r>
        <w:t xml:space="preserve">That is the whole of it. The rest is arithmetic, and the app will do the arithmetic.</w:t>
      </w:r>
    </w:p>
    <w:sectPr>
      <w:footerReference w:type="default" r:id="rId7"/>
      <w:pgSz w:w="11906" w:h="16838"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BCFB6" w:sz="4" w:space="8"/>
      </w:pBdr>
      <w:tabs>
        <w:tab w:val="right" w:pos="9360"/>
      </w:tabs>
      <w:spacing w:after="0" w:before="0"/>
    </w:pPr>
    <w:r>
      <w:rPr>
        <w:rFonts w:ascii="Calibri" w:cs="Calibri" w:eastAsia="Calibri" w:hAnsi="Calibri"/>
        <w:color w:val="6B6258"/>
        <w:sz w:val="15"/>
        <w:szCs w:val="15"/>
      </w:rPr>
      <w:t xml:space="preserve">Personal Financial Literacy · The Household Handbook · © 2026 Dr Bruce Clayton. All rights reserved.</w:t>
    </w:r>
    <w:r>
      <w:rPr>
        <w:rFonts w:ascii="Calibri" w:cs="Calibri" w:eastAsia="Calibri" w:hAnsi="Calibri"/>
        <w:sz w:val="15"/>
        <w:szCs w:val="15"/>
      </w:rPr>
      <w:t xml:space="preserve">	</w:t>
    </w:r>
    <w:r>
      <w:rPr>
        <w:rFonts w:ascii="Calibri" w:cs="Calibri" w:eastAsia="Calibri" w:hAnsi="Calibri"/>
        <w:b/>
        <w:bCs/>
        <w:color w:val="2F6B5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rPr>
        <w:b/>
        <w:bCs/>
        <w:color w:val="2F6B57"/>
      </w:rPr>
    </w:lvl>
    <w:lvl w:ilvl="1" w15:tentative="1">
      <w:start w:val="1"/>
      <w:numFmt w:val="bullet"/>
      <w:lvlText w:val="–"/>
      <w:lvlJc w:val="left"/>
      <w:pPr>
        <w:ind w:left="863" w:hanging="259"/>
      </w:pPr>
    </w:lvl>
  </w:abstractNum>
  <w:abstractNum w:abstractNumId="3" w15:restartNumberingAfterBreak="0">
    <w:multiLevelType w:val="hybridMultilevel"/>
    <w:lvl w:ilvl="0" w15:tentative="1">
      <w:start w:val="1"/>
      <w:numFmt w:val="decimal"/>
      <w:lvlText w:val="%1."/>
      <w:lvlJc w:val="left"/>
      <w:pPr>
        <w:ind w:left="489" w:hanging="345"/>
      </w:pPr>
      <w:rPr>
        <w:b/>
        <w:bCs/>
        <w:color w:val="2F6B57"/>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221E"/>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mbria" w:cs="Cambria" w:eastAsia="Cambria" w:hAnsi="Cambria"/>
      <w:b/>
      <w:bCs/>
      <w:color w:val="2F6B57"/>
      <w:sz w:val="34"/>
      <w:szCs w:val="34"/>
    </w:rPr>
  </w:style>
  <w:style w:type="paragraph" w:styleId="Heading2">
    <w:name w:val="Heading 2"/>
    <w:basedOn w:val="Normal"/>
    <w:next w:val="Normal"/>
    <w:qFormat/>
    <w:rPr>
      <w:rFonts w:ascii="Cambria" w:cs="Cambria" w:eastAsia="Cambria" w:hAnsi="Cambria"/>
      <w:b/>
      <w:bCs/>
      <w:color w:val="26221E"/>
      <w:sz w:val="26"/>
      <w:szCs w:val="26"/>
    </w:rPr>
  </w:style>
  <w:style w:type="paragraph" w:styleId="Heading3">
    <w:name w:val="Heading 3"/>
    <w:basedOn w:val="Normal"/>
    <w:next w:val="Normal"/>
    <w:qFormat/>
    <w:rPr>
      <w:rFonts w:ascii="Calibri" w:cs="Calibri" w:eastAsia="Calibri" w:hAnsi="Calibri"/>
      <w:b/>
      <w:bCs/>
      <w:color w:val="41607C"/>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Financial Literacy — The Household Handbook</dc:title>
  <dc:creator>Dr Bruce Clayton</dc:creator>
  <dc:description>Companion handbook to the Personal Financial Literacy app. © 2026 Dr Bruce Clayton.</dc:description>
  <cp:lastModifiedBy>Un-named</cp:lastModifiedBy>
  <cp:revision>1</cp:revision>
  <dcterms:created xsi:type="dcterms:W3CDTF">2026-09-06T09:13:43.638Z</dcterms:created>
  <dcterms:modified xsi:type="dcterms:W3CDTF">2026-09-06T09:13:43.638Z</dcterms:modified>
</cp:coreProperties>
</file>

<file path=docProps/custom.xml><?xml version="1.0" encoding="utf-8"?>
<Properties xmlns="http://schemas.openxmlformats.org/officeDocument/2006/custom-properties" xmlns:vt="http://schemas.openxmlformats.org/officeDocument/2006/docPropsVTypes"/>
</file>